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BFC9" w14:textId="77777777" w:rsidR="00685ED0" w:rsidRPr="00032AD9" w:rsidRDefault="00685ED0" w:rsidP="00B55C3A">
      <w:pPr>
        <w:jc w:val="both"/>
        <w:rPr>
          <w:b/>
          <w:sz w:val="22"/>
          <w:szCs w:val="22"/>
          <w:lang w:val="en-US"/>
        </w:rPr>
      </w:pPr>
      <w:r w:rsidRPr="00032AD9">
        <w:rPr>
          <w:b/>
          <w:sz w:val="22"/>
          <w:szCs w:val="22"/>
          <w:lang w:val="en-US"/>
        </w:rPr>
        <w:t>DIAGNOSIS AND MANAGEMET OF GLIOBLASTOMA PATIENTS WITH RAPID EARLY PROGRESSION BEFORE THE INITIATION OF ADJUVANT ONCOLOGY TREATMENT</w:t>
      </w:r>
    </w:p>
    <w:p w14:paraId="3FB450B2" w14:textId="77777777" w:rsidR="00FE58DA" w:rsidRPr="00032AD9" w:rsidRDefault="00FE58DA" w:rsidP="00B55C3A">
      <w:pPr>
        <w:ind w:firstLine="709"/>
        <w:jc w:val="both"/>
        <w:rPr>
          <w:b/>
          <w:sz w:val="22"/>
          <w:szCs w:val="22"/>
          <w:lang w:val="en-US"/>
        </w:rPr>
      </w:pPr>
    </w:p>
    <w:p w14:paraId="03888BDE" w14:textId="77777777" w:rsidR="006E225F" w:rsidRPr="00032AD9" w:rsidRDefault="006E225F" w:rsidP="00B55C3A">
      <w:pPr>
        <w:ind w:firstLine="709"/>
        <w:jc w:val="both"/>
        <w:rPr>
          <w:b/>
          <w:sz w:val="22"/>
          <w:szCs w:val="22"/>
          <w:lang w:val="en-US"/>
        </w:rPr>
      </w:pPr>
    </w:p>
    <w:p w14:paraId="286A76E7" w14:textId="77777777" w:rsidR="00595081" w:rsidRPr="00032AD9" w:rsidRDefault="00595081" w:rsidP="00B55C3A">
      <w:pPr>
        <w:ind w:firstLine="709"/>
        <w:jc w:val="both"/>
        <w:rPr>
          <w:b/>
          <w:sz w:val="22"/>
          <w:szCs w:val="22"/>
          <w:lang w:val="en-US"/>
        </w:rPr>
      </w:pPr>
      <w:r w:rsidRPr="00032AD9">
        <w:rPr>
          <w:b/>
          <w:sz w:val="22"/>
          <w:szCs w:val="22"/>
          <w:lang w:val="en-US"/>
        </w:rPr>
        <w:t>Project introduction including relevance and topical issues</w:t>
      </w:r>
    </w:p>
    <w:p w14:paraId="176038B0" w14:textId="77777777" w:rsidR="00453840" w:rsidRPr="00032AD9" w:rsidRDefault="00992227" w:rsidP="00B55C3A">
      <w:pPr>
        <w:ind w:firstLine="709"/>
        <w:jc w:val="both"/>
        <w:rPr>
          <w:sz w:val="22"/>
          <w:szCs w:val="22"/>
          <w:lang w:val="en-US"/>
        </w:rPr>
      </w:pPr>
      <w:r w:rsidRPr="00032AD9">
        <w:rPr>
          <w:sz w:val="22"/>
          <w:szCs w:val="22"/>
          <w:lang w:val="en-US"/>
        </w:rPr>
        <w:t xml:space="preserve">Glioblastoma (GB) is the most aggressive diffuse glioma </w:t>
      </w:r>
      <w:r w:rsidR="00A77B9D" w:rsidRPr="00032AD9">
        <w:rPr>
          <w:sz w:val="22"/>
          <w:szCs w:val="22"/>
          <w:lang w:val="en-US"/>
        </w:rPr>
        <w:t>that</w:t>
      </w:r>
      <w:r w:rsidRPr="00032AD9">
        <w:rPr>
          <w:sz w:val="22"/>
          <w:szCs w:val="22"/>
          <w:lang w:val="en-US"/>
        </w:rPr>
        <w:t xml:space="preserve"> corresponds to grade 4 based on</w:t>
      </w:r>
      <w:r w:rsidR="00A77B9D" w:rsidRPr="00032AD9">
        <w:rPr>
          <w:sz w:val="22"/>
          <w:szCs w:val="22"/>
          <w:lang w:val="en-US"/>
        </w:rPr>
        <w:t xml:space="preserve"> </w:t>
      </w:r>
      <w:r w:rsidR="007F19C8" w:rsidRPr="00032AD9">
        <w:rPr>
          <w:sz w:val="22"/>
          <w:szCs w:val="22"/>
          <w:lang w:val="en-US"/>
        </w:rPr>
        <w:t>the 2016 World Health Organization Classification of Tumors of the Central Nervous System</w:t>
      </w:r>
      <w:r w:rsidRPr="00032AD9">
        <w:rPr>
          <w:sz w:val="22"/>
          <w:szCs w:val="22"/>
          <w:lang w:val="en-US"/>
        </w:rPr>
        <w:t>.</w:t>
      </w:r>
      <w:r w:rsidR="00A77B9D" w:rsidRPr="00032AD9">
        <w:rPr>
          <w:sz w:val="22"/>
          <w:szCs w:val="22"/>
          <w:lang w:val="en-US"/>
        </w:rPr>
        <w:t xml:space="preserve"> </w:t>
      </w:r>
      <w:r w:rsidRPr="00032AD9">
        <w:rPr>
          <w:sz w:val="22"/>
          <w:szCs w:val="22"/>
          <w:lang w:val="en-US"/>
        </w:rPr>
        <w:t>GB</w:t>
      </w:r>
      <w:r w:rsidR="00A77B9D" w:rsidRPr="00032AD9">
        <w:rPr>
          <w:sz w:val="22"/>
          <w:szCs w:val="22"/>
          <w:lang w:val="en-US"/>
        </w:rPr>
        <w:t xml:space="preserve"> </w:t>
      </w:r>
      <w:r w:rsidRPr="00032AD9">
        <w:rPr>
          <w:sz w:val="22"/>
          <w:szCs w:val="22"/>
          <w:lang w:val="en-US"/>
        </w:rPr>
        <w:t xml:space="preserve">is the most common </w:t>
      </w:r>
      <w:r w:rsidR="00FC097A" w:rsidRPr="00032AD9">
        <w:rPr>
          <w:sz w:val="22"/>
          <w:szCs w:val="22"/>
          <w:lang w:val="en-US"/>
        </w:rPr>
        <w:t xml:space="preserve">primary </w:t>
      </w:r>
      <w:r w:rsidRPr="00032AD9">
        <w:rPr>
          <w:sz w:val="22"/>
          <w:szCs w:val="22"/>
          <w:lang w:val="en-US"/>
        </w:rPr>
        <w:t xml:space="preserve">brain </w:t>
      </w:r>
      <w:r w:rsidR="00A77B9D" w:rsidRPr="00032AD9">
        <w:rPr>
          <w:sz w:val="22"/>
          <w:szCs w:val="22"/>
          <w:lang w:val="en-US"/>
        </w:rPr>
        <w:t>malig</w:t>
      </w:r>
      <w:r w:rsidRPr="00032AD9">
        <w:rPr>
          <w:sz w:val="22"/>
          <w:szCs w:val="22"/>
          <w:lang w:val="en-US"/>
        </w:rPr>
        <w:t>nancy</w:t>
      </w:r>
      <w:r w:rsidR="007F19C8" w:rsidRPr="00032AD9">
        <w:rPr>
          <w:sz w:val="22"/>
          <w:szCs w:val="22"/>
          <w:lang w:val="en-US"/>
        </w:rPr>
        <w:t xml:space="preserve"> with the incidence of 3 per 100,000 persons per year</w:t>
      </w:r>
      <w:r w:rsidR="0077017D" w:rsidRPr="00032AD9">
        <w:rPr>
          <w:sz w:val="22"/>
          <w:szCs w:val="22"/>
          <w:lang w:val="en-US"/>
        </w:rPr>
        <w:t>, accounting for 45</w:t>
      </w:r>
      <w:r w:rsidRPr="00032AD9">
        <w:rPr>
          <w:sz w:val="22"/>
          <w:szCs w:val="22"/>
          <w:lang w:val="en-US"/>
        </w:rPr>
        <w:t xml:space="preserve">% of </w:t>
      </w:r>
      <w:r w:rsidR="007F19C8" w:rsidRPr="00032AD9">
        <w:rPr>
          <w:sz w:val="22"/>
          <w:szCs w:val="22"/>
          <w:lang w:val="en-US"/>
        </w:rPr>
        <w:t xml:space="preserve">malignant primary brain </w:t>
      </w:r>
      <w:r w:rsidRPr="00032AD9">
        <w:rPr>
          <w:sz w:val="22"/>
          <w:szCs w:val="22"/>
          <w:lang w:val="en-US"/>
        </w:rPr>
        <w:t>tumors</w:t>
      </w:r>
      <w:r w:rsidR="00936017" w:rsidRPr="00032AD9">
        <w:rPr>
          <w:sz w:val="22"/>
          <w:szCs w:val="22"/>
          <w:lang w:val="en-US"/>
        </w:rPr>
        <w:t xml:space="preserve"> and</w:t>
      </w:r>
      <w:r w:rsidRPr="00032AD9">
        <w:rPr>
          <w:sz w:val="22"/>
          <w:szCs w:val="22"/>
          <w:lang w:val="en-US"/>
        </w:rPr>
        <w:t xml:space="preserve"> 54% of all gliomas.</w:t>
      </w:r>
      <w:r w:rsidR="007F19C8" w:rsidRPr="00032AD9">
        <w:rPr>
          <w:sz w:val="22"/>
          <w:szCs w:val="22"/>
          <w:lang w:val="en-US"/>
        </w:rPr>
        <w:t xml:space="preserve"> </w:t>
      </w:r>
      <w:r w:rsidR="001436A4" w:rsidRPr="00032AD9">
        <w:rPr>
          <w:sz w:val="22"/>
          <w:szCs w:val="22"/>
          <w:lang w:val="en-US"/>
        </w:rPr>
        <w:t>Despite the considerable improvements in surgical techniques, which enabl</w:t>
      </w:r>
      <w:r w:rsidR="0077017D" w:rsidRPr="00032AD9">
        <w:rPr>
          <w:sz w:val="22"/>
          <w:szCs w:val="22"/>
          <w:lang w:val="en-US"/>
        </w:rPr>
        <w:t xml:space="preserve">e more extensive degree of </w:t>
      </w:r>
      <w:r w:rsidR="001436A4" w:rsidRPr="00032AD9">
        <w:rPr>
          <w:sz w:val="22"/>
          <w:szCs w:val="22"/>
          <w:lang w:val="en-US"/>
        </w:rPr>
        <w:t xml:space="preserve">resection, </w:t>
      </w:r>
      <w:r w:rsidR="00427F35" w:rsidRPr="00032AD9">
        <w:rPr>
          <w:sz w:val="22"/>
          <w:szCs w:val="22"/>
          <w:lang w:val="en-US"/>
        </w:rPr>
        <w:t>wide</w:t>
      </w:r>
      <w:r w:rsidR="001436A4" w:rsidRPr="00032AD9">
        <w:rPr>
          <w:sz w:val="22"/>
          <w:szCs w:val="22"/>
          <w:lang w:val="en-US"/>
        </w:rPr>
        <w:t xml:space="preserve"> application of more </w:t>
      </w:r>
      <w:r w:rsidR="00427F35" w:rsidRPr="00032AD9">
        <w:rPr>
          <w:sz w:val="22"/>
          <w:szCs w:val="22"/>
          <w:lang w:val="en-US"/>
        </w:rPr>
        <w:t xml:space="preserve">precise </w:t>
      </w:r>
      <w:r w:rsidR="001436A4" w:rsidRPr="00032AD9">
        <w:rPr>
          <w:sz w:val="22"/>
          <w:szCs w:val="22"/>
          <w:lang w:val="en-US"/>
        </w:rPr>
        <w:t xml:space="preserve">radiotherapy </w:t>
      </w:r>
      <w:r w:rsidR="00864D2A" w:rsidRPr="00032AD9">
        <w:rPr>
          <w:sz w:val="22"/>
          <w:szCs w:val="22"/>
          <w:lang w:val="en-US"/>
        </w:rPr>
        <w:t xml:space="preserve">(RT) </w:t>
      </w:r>
      <w:r w:rsidR="001436A4" w:rsidRPr="00032AD9">
        <w:rPr>
          <w:sz w:val="22"/>
          <w:szCs w:val="22"/>
          <w:lang w:val="en-US"/>
        </w:rPr>
        <w:t xml:space="preserve">and novel chemotherapeutic agents, </w:t>
      </w:r>
      <w:r w:rsidR="008F2DAC" w:rsidRPr="00032AD9">
        <w:rPr>
          <w:sz w:val="22"/>
          <w:szCs w:val="22"/>
          <w:lang w:val="en-US"/>
        </w:rPr>
        <w:t>GB remains an incurable disease with a median survival of 15 months</w:t>
      </w:r>
      <w:r w:rsidR="002E5202" w:rsidRPr="00032AD9">
        <w:rPr>
          <w:sz w:val="22"/>
          <w:szCs w:val="22"/>
          <w:lang w:val="en-US"/>
        </w:rPr>
        <w:t xml:space="preserve"> and </w:t>
      </w:r>
      <w:r w:rsidR="00FC097A" w:rsidRPr="00032AD9">
        <w:rPr>
          <w:sz w:val="22"/>
          <w:szCs w:val="22"/>
          <w:lang w:val="en-US"/>
        </w:rPr>
        <w:t>3</w:t>
      </w:r>
      <w:r w:rsidR="002E5202" w:rsidRPr="00032AD9">
        <w:rPr>
          <w:sz w:val="22"/>
          <w:szCs w:val="22"/>
          <w:lang w:val="en-US"/>
        </w:rPr>
        <w:t>-year overall survival</w:t>
      </w:r>
      <w:r w:rsidR="00CF2DD3" w:rsidRPr="00032AD9">
        <w:rPr>
          <w:sz w:val="22"/>
          <w:szCs w:val="22"/>
          <w:lang w:val="en-US"/>
        </w:rPr>
        <w:t xml:space="preserve"> (OS)</w:t>
      </w:r>
      <w:r w:rsidR="002E5202" w:rsidRPr="00032AD9">
        <w:rPr>
          <w:sz w:val="22"/>
          <w:szCs w:val="22"/>
          <w:lang w:val="en-US"/>
        </w:rPr>
        <w:t xml:space="preserve"> of less than 10%</w:t>
      </w:r>
      <w:r w:rsidR="00FC097A" w:rsidRPr="00032AD9">
        <w:rPr>
          <w:sz w:val="22"/>
          <w:szCs w:val="22"/>
          <w:lang w:val="en-US"/>
        </w:rPr>
        <w:t xml:space="preserve"> in real</w:t>
      </w:r>
      <w:r w:rsidR="00427F35" w:rsidRPr="00032AD9">
        <w:rPr>
          <w:sz w:val="22"/>
          <w:szCs w:val="22"/>
          <w:lang w:val="en-US"/>
        </w:rPr>
        <w:t xml:space="preserve"> clinical</w:t>
      </w:r>
      <w:r w:rsidR="00FC097A" w:rsidRPr="00032AD9">
        <w:rPr>
          <w:sz w:val="22"/>
          <w:szCs w:val="22"/>
          <w:lang w:val="en-US"/>
        </w:rPr>
        <w:t xml:space="preserve"> practice</w:t>
      </w:r>
      <w:r w:rsidR="00F61FC9" w:rsidRPr="00032AD9">
        <w:rPr>
          <w:sz w:val="22"/>
          <w:szCs w:val="22"/>
          <w:lang w:val="en-US"/>
        </w:rPr>
        <w:t xml:space="preserve"> </w:t>
      </w:r>
      <w:r w:rsidR="0083277F" w:rsidRPr="00032AD9">
        <w:rPr>
          <w:sz w:val="22"/>
          <w:szCs w:val="22"/>
          <w:lang w:val="en-US"/>
        </w:rPr>
        <w:t>[1-4]</w:t>
      </w:r>
      <w:r w:rsidR="008F2DAC" w:rsidRPr="00032AD9">
        <w:rPr>
          <w:sz w:val="22"/>
          <w:szCs w:val="22"/>
          <w:lang w:val="en-US"/>
        </w:rPr>
        <w:t>.</w:t>
      </w:r>
      <w:r w:rsidR="007F1251" w:rsidRPr="00032AD9">
        <w:rPr>
          <w:sz w:val="22"/>
          <w:szCs w:val="22"/>
          <w:lang w:val="en-US"/>
        </w:rPr>
        <w:t xml:space="preserve"> </w:t>
      </w:r>
      <w:r w:rsidR="00427F35" w:rsidRPr="00032AD9">
        <w:rPr>
          <w:sz w:val="22"/>
          <w:szCs w:val="22"/>
          <w:lang w:val="en-US"/>
        </w:rPr>
        <w:t>Clinical trials evaluating the role of modern targeted therapy did not prove superiority of this treatment strategy and results of GB treatment remains poor.</w:t>
      </w:r>
      <w:r w:rsidR="00980F06" w:rsidRPr="00032AD9">
        <w:rPr>
          <w:sz w:val="22"/>
          <w:szCs w:val="22"/>
          <w:lang w:val="en-US"/>
        </w:rPr>
        <w:t xml:space="preserve"> The only one possible advance after 15 years is the treatment by tumor treating fields, however wide availability of this method is limited by enormously high price tag, patients motivation and some discussable issues in performed clinical trials</w:t>
      </w:r>
      <w:r w:rsidR="00F61FC9" w:rsidRPr="00032AD9">
        <w:rPr>
          <w:sz w:val="22"/>
          <w:szCs w:val="22"/>
          <w:lang w:val="en-US"/>
        </w:rPr>
        <w:t xml:space="preserve"> </w:t>
      </w:r>
      <w:r w:rsidR="0083277F" w:rsidRPr="00032AD9">
        <w:rPr>
          <w:sz w:val="22"/>
          <w:szCs w:val="22"/>
          <w:lang w:val="en-US"/>
        </w:rPr>
        <w:t xml:space="preserve">[5]. </w:t>
      </w:r>
    </w:p>
    <w:p w14:paraId="616B7753" w14:textId="77777777" w:rsidR="000E34B1" w:rsidRPr="00032AD9" w:rsidRDefault="000E34B1" w:rsidP="00B55C3A">
      <w:pPr>
        <w:ind w:firstLine="709"/>
        <w:jc w:val="both"/>
        <w:rPr>
          <w:sz w:val="22"/>
          <w:szCs w:val="22"/>
          <w:lang w:val="en-US"/>
        </w:rPr>
      </w:pPr>
      <w:r w:rsidRPr="00032AD9">
        <w:rPr>
          <w:sz w:val="22"/>
          <w:szCs w:val="22"/>
          <w:lang w:val="en-US"/>
        </w:rPr>
        <w:t>Current standard of care</w:t>
      </w:r>
      <w:r w:rsidR="00EF733F" w:rsidRPr="00032AD9">
        <w:rPr>
          <w:sz w:val="22"/>
          <w:szCs w:val="22"/>
          <w:lang w:val="en-US"/>
        </w:rPr>
        <w:t xml:space="preserve"> is based o</w:t>
      </w:r>
      <w:r w:rsidR="00940934" w:rsidRPr="00032AD9">
        <w:rPr>
          <w:sz w:val="22"/>
          <w:szCs w:val="22"/>
          <w:lang w:val="en-US"/>
        </w:rPr>
        <w:t>n</w:t>
      </w:r>
      <w:r w:rsidR="00EF733F" w:rsidRPr="00032AD9">
        <w:rPr>
          <w:sz w:val="22"/>
          <w:szCs w:val="22"/>
          <w:lang w:val="en-US"/>
        </w:rPr>
        <w:t xml:space="preserve"> multimodality treatment combining surgery, RT and chemotherapy</w:t>
      </w:r>
      <w:r w:rsidR="008D05DB" w:rsidRPr="00032AD9">
        <w:rPr>
          <w:sz w:val="22"/>
          <w:szCs w:val="22"/>
          <w:lang w:val="en-US"/>
        </w:rPr>
        <w:t xml:space="preserve"> with alkylating agent temozolomide (TMZ)</w:t>
      </w:r>
      <w:r w:rsidR="00EF733F" w:rsidRPr="00032AD9">
        <w:rPr>
          <w:sz w:val="22"/>
          <w:szCs w:val="22"/>
          <w:lang w:val="en-US"/>
        </w:rPr>
        <w:t xml:space="preserve">. </w:t>
      </w:r>
      <w:r w:rsidRPr="00032AD9">
        <w:rPr>
          <w:sz w:val="22"/>
          <w:szCs w:val="22"/>
          <w:lang w:val="en-US"/>
        </w:rPr>
        <w:t>Adjuvant therapy is usually initiated up to 4-6 weeks after surgery to allow sufficient recovery time and enable wound healing.</w:t>
      </w:r>
      <w:r w:rsidR="00EF733F" w:rsidRPr="00032AD9">
        <w:rPr>
          <w:sz w:val="22"/>
          <w:szCs w:val="22"/>
          <w:lang w:val="en-US"/>
        </w:rPr>
        <w:t xml:space="preserve"> S</w:t>
      </w:r>
      <w:r w:rsidR="00AF457D" w:rsidRPr="00032AD9">
        <w:rPr>
          <w:sz w:val="22"/>
          <w:szCs w:val="22"/>
          <w:lang w:val="en-US"/>
        </w:rPr>
        <w:t>tandard post-surgery treatment of newly diagnosed GB patients has remained unchanged since implementation of the recommendations of the EORTC 26981–22981/NCIC CE3 trial (Stupp regimen) that finished enrolling patients in 2002 and was published in 2005. In this protocol, TMZ (75 mg/m2) is administered on days 1 through 42 with concomitant RT (60 Gy), followed by administration of TMZ alone (150 to 200 mg/m2) on days 1-5 in six consecutive 4-week cycles. Co-administration of TMZ improved survival from 12.1 months (with RT alone) to 14.6 months (with addition of TMZ)</w:t>
      </w:r>
      <w:r w:rsidR="00F61FC9" w:rsidRPr="00032AD9">
        <w:rPr>
          <w:sz w:val="22"/>
          <w:szCs w:val="22"/>
          <w:lang w:val="en-US"/>
        </w:rPr>
        <w:t xml:space="preserve"> </w:t>
      </w:r>
      <w:r w:rsidR="0083277F" w:rsidRPr="00032AD9">
        <w:rPr>
          <w:sz w:val="22"/>
          <w:szCs w:val="22"/>
          <w:lang w:val="en-US"/>
        </w:rPr>
        <w:t>[6-8].</w:t>
      </w:r>
      <w:r w:rsidR="009C0432" w:rsidRPr="00032AD9">
        <w:rPr>
          <w:sz w:val="22"/>
          <w:szCs w:val="22"/>
          <w:lang w:val="en-US"/>
        </w:rPr>
        <w:t xml:space="preserve"> </w:t>
      </w:r>
      <w:r w:rsidR="00437F01" w:rsidRPr="00032AD9">
        <w:rPr>
          <w:sz w:val="22"/>
          <w:szCs w:val="22"/>
          <w:lang w:val="en-US"/>
        </w:rPr>
        <w:t>Continuing effort how to improve treatment outcomes is urgent clinical as well as research need.</w:t>
      </w:r>
    </w:p>
    <w:p w14:paraId="72CD9E9D" w14:textId="77777777" w:rsidR="009C0432" w:rsidRPr="00032AD9" w:rsidRDefault="009C0432" w:rsidP="00B55C3A">
      <w:pPr>
        <w:ind w:firstLine="709"/>
        <w:jc w:val="both"/>
        <w:rPr>
          <w:sz w:val="22"/>
          <w:szCs w:val="22"/>
          <w:lang w:val="en-US"/>
        </w:rPr>
      </w:pPr>
    </w:p>
    <w:p w14:paraId="554AE9B7" w14:textId="77777777" w:rsidR="00315EC2" w:rsidRPr="00032AD9" w:rsidRDefault="00315EC2" w:rsidP="009C0432">
      <w:pPr>
        <w:jc w:val="both"/>
        <w:rPr>
          <w:sz w:val="22"/>
          <w:szCs w:val="22"/>
          <w:u w:val="single"/>
          <w:lang w:val="en-US"/>
        </w:rPr>
      </w:pPr>
      <w:r w:rsidRPr="00032AD9">
        <w:rPr>
          <w:sz w:val="22"/>
          <w:szCs w:val="22"/>
          <w:u w:val="single"/>
          <w:lang w:val="en-US"/>
        </w:rPr>
        <w:t xml:space="preserve">Glioblastoma </w:t>
      </w:r>
      <w:r w:rsidR="00BA7035" w:rsidRPr="00032AD9">
        <w:rPr>
          <w:sz w:val="22"/>
          <w:szCs w:val="22"/>
          <w:u w:val="single"/>
          <w:lang w:val="en-US"/>
        </w:rPr>
        <w:t xml:space="preserve">as a </w:t>
      </w:r>
      <w:r w:rsidRPr="00032AD9">
        <w:rPr>
          <w:sz w:val="22"/>
          <w:szCs w:val="22"/>
          <w:u w:val="single"/>
          <w:lang w:val="en-US"/>
        </w:rPr>
        <w:t>progressi</w:t>
      </w:r>
      <w:r w:rsidR="00BA7035" w:rsidRPr="00032AD9">
        <w:rPr>
          <w:sz w:val="22"/>
          <w:szCs w:val="22"/>
          <w:u w:val="single"/>
          <w:lang w:val="en-US"/>
        </w:rPr>
        <w:t>ve disease</w:t>
      </w:r>
    </w:p>
    <w:p w14:paraId="35F4F4E9" w14:textId="3E71355A" w:rsidR="00DA3F54" w:rsidRPr="00032AD9" w:rsidRDefault="00933322" w:rsidP="00B55C3A">
      <w:pPr>
        <w:ind w:firstLine="709"/>
        <w:jc w:val="both"/>
        <w:rPr>
          <w:sz w:val="22"/>
          <w:szCs w:val="22"/>
          <w:lang w:val="en-US"/>
        </w:rPr>
      </w:pPr>
      <w:r w:rsidRPr="00032AD9">
        <w:rPr>
          <w:sz w:val="22"/>
          <w:szCs w:val="22"/>
          <w:lang w:val="en-US"/>
        </w:rPr>
        <w:t xml:space="preserve">The phenomenon of postoperative rapid early progression (REP) has only recently been explored with </w:t>
      </w:r>
      <w:r w:rsidR="00940934" w:rsidRPr="00032AD9">
        <w:rPr>
          <w:sz w:val="22"/>
          <w:szCs w:val="22"/>
          <w:lang w:val="en-US"/>
        </w:rPr>
        <w:t>increasingly</w:t>
      </w:r>
      <w:r w:rsidRPr="00032AD9">
        <w:rPr>
          <w:sz w:val="22"/>
          <w:szCs w:val="22"/>
          <w:lang w:val="en-US"/>
        </w:rPr>
        <w:t xml:space="preserve"> available </w:t>
      </w:r>
      <w:r w:rsidR="00940934" w:rsidRPr="00032AD9">
        <w:rPr>
          <w:sz w:val="22"/>
          <w:szCs w:val="22"/>
          <w:lang w:val="en-US"/>
        </w:rPr>
        <w:t>magnetic resonance imaging (</w:t>
      </w:r>
      <w:r w:rsidRPr="00032AD9">
        <w:rPr>
          <w:sz w:val="22"/>
          <w:szCs w:val="22"/>
          <w:lang w:val="en-US"/>
        </w:rPr>
        <w:t>MR</w:t>
      </w:r>
      <w:r w:rsidR="00263304" w:rsidRPr="00032AD9">
        <w:rPr>
          <w:sz w:val="22"/>
          <w:szCs w:val="22"/>
          <w:lang w:val="en-US"/>
        </w:rPr>
        <w:t>I</w:t>
      </w:r>
      <w:r w:rsidR="00940934" w:rsidRPr="00032AD9">
        <w:rPr>
          <w:sz w:val="22"/>
          <w:szCs w:val="22"/>
          <w:lang w:val="en-US"/>
        </w:rPr>
        <w:t>)</w:t>
      </w:r>
      <w:r w:rsidRPr="00032AD9">
        <w:rPr>
          <w:sz w:val="22"/>
          <w:szCs w:val="22"/>
          <w:lang w:val="en-US"/>
        </w:rPr>
        <w:t xml:space="preserve"> for both postsurgery and preRT indication and is </w:t>
      </w:r>
      <w:r w:rsidR="009C0432" w:rsidRPr="00032AD9">
        <w:rPr>
          <w:sz w:val="22"/>
          <w:szCs w:val="22"/>
          <w:lang w:val="en-US"/>
        </w:rPr>
        <w:t xml:space="preserve">currently </w:t>
      </w:r>
      <w:r w:rsidRPr="00032AD9">
        <w:rPr>
          <w:sz w:val="22"/>
          <w:szCs w:val="22"/>
          <w:lang w:val="en-US"/>
        </w:rPr>
        <w:t>of high interest. REP diagnosis is based on a comparison of early postoperative MR</w:t>
      </w:r>
      <w:r w:rsidR="00263304" w:rsidRPr="00032AD9">
        <w:rPr>
          <w:sz w:val="22"/>
          <w:szCs w:val="22"/>
          <w:lang w:val="en-US"/>
        </w:rPr>
        <w:t>I</w:t>
      </w:r>
      <w:r w:rsidRPr="00032AD9">
        <w:rPr>
          <w:sz w:val="22"/>
          <w:szCs w:val="22"/>
          <w:lang w:val="en-US"/>
        </w:rPr>
        <w:t xml:space="preserve"> findings (up to 72 hours postoperatively) and planning preRT MR</w:t>
      </w:r>
      <w:r w:rsidR="00263304" w:rsidRPr="00032AD9">
        <w:rPr>
          <w:sz w:val="22"/>
          <w:szCs w:val="22"/>
          <w:lang w:val="en-US"/>
        </w:rPr>
        <w:t>I</w:t>
      </w:r>
      <w:r w:rsidRPr="00032AD9">
        <w:rPr>
          <w:sz w:val="22"/>
          <w:szCs w:val="22"/>
          <w:lang w:val="en-US"/>
        </w:rPr>
        <w:t xml:space="preserve">. </w:t>
      </w:r>
      <w:r w:rsidR="00DA3F54" w:rsidRPr="00032AD9">
        <w:rPr>
          <w:sz w:val="22"/>
          <w:szCs w:val="22"/>
          <w:lang w:val="en-US"/>
        </w:rPr>
        <w:t>Farace at al focused on early MRI changes in glioblastoma in the period between surgery and adjuvant therapy [</w:t>
      </w:r>
      <w:r w:rsidR="006E225F" w:rsidRPr="00032AD9">
        <w:rPr>
          <w:sz w:val="22"/>
          <w:szCs w:val="22"/>
          <w:lang w:val="en-US"/>
        </w:rPr>
        <w:t>9</w:t>
      </w:r>
      <w:r w:rsidR="00DA3F54" w:rsidRPr="00032AD9">
        <w:rPr>
          <w:sz w:val="22"/>
          <w:szCs w:val="22"/>
          <w:lang w:val="en-US"/>
        </w:rPr>
        <w:t xml:space="preserve">]. Comparing early post-operative MRI with pre-adjuvant MRI acquired approximately 30 days later, they found that at least 30 % of MRI showed signs strongly suggestive of tumor progression during this period. Even higher proportion of patients with documented </w:t>
      </w:r>
      <w:r w:rsidR="005811AF" w:rsidRPr="00032AD9">
        <w:rPr>
          <w:sz w:val="22"/>
          <w:szCs w:val="22"/>
          <w:lang w:val="en-US"/>
        </w:rPr>
        <w:t>REP</w:t>
      </w:r>
      <w:r w:rsidR="00DA3F54" w:rsidRPr="00032AD9">
        <w:rPr>
          <w:sz w:val="22"/>
          <w:szCs w:val="22"/>
          <w:lang w:val="en-US"/>
        </w:rPr>
        <w:t xml:space="preserve"> was recently described by Palmer et al when up to 50 % developed progression before initiation of adjuvant treatment without any effect of waiting time to initiation of RT (median time from resection to RT was 32.5 and 33 days in patients with and without REP (p=0.337)</w:t>
      </w:r>
      <w:r w:rsidR="00F61FC9" w:rsidRPr="00032AD9">
        <w:rPr>
          <w:sz w:val="22"/>
          <w:szCs w:val="22"/>
          <w:lang w:val="en-US"/>
        </w:rPr>
        <w:t xml:space="preserve"> </w:t>
      </w:r>
      <w:r w:rsidR="006E225F" w:rsidRPr="00032AD9">
        <w:rPr>
          <w:sz w:val="22"/>
          <w:szCs w:val="22"/>
          <w:lang w:val="en-US"/>
        </w:rPr>
        <w:t xml:space="preserve">[10]. </w:t>
      </w:r>
      <w:r w:rsidR="00DA3F54" w:rsidRPr="00032AD9">
        <w:rPr>
          <w:sz w:val="22"/>
          <w:szCs w:val="22"/>
          <w:lang w:val="en-US"/>
        </w:rPr>
        <w:t xml:space="preserve">These results are in accordance with our retrospective analysis of 95 patients with GB treated during 2014-2017 where 52% patients developed suspected progression at MRI performed for radiotherapy planning purposes – Lakomy, Kazda et al, manuscript in preparation; presentation at European Association of Neuro-Oncology 2019 annual meeting). These patients may represent a subset of patients with a particularly aggressive phenotype of GB. </w:t>
      </w:r>
    </w:p>
    <w:p w14:paraId="116469E9" w14:textId="7D7283AE" w:rsidR="00933322" w:rsidRPr="00032AD9" w:rsidRDefault="00933322" w:rsidP="00B55C3A">
      <w:pPr>
        <w:ind w:firstLine="709"/>
        <w:jc w:val="both"/>
        <w:rPr>
          <w:sz w:val="22"/>
          <w:szCs w:val="22"/>
          <w:lang w:val="en-US"/>
        </w:rPr>
      </w:pPr>
      <w:r w:rsidRPr="00032AD9">
        <w:rPr>
          <w:sz w:val="22"/>
          <w:szCs w:val="22"/>
          <w:lang w:val="en-US"/>
        </w:rPr>
        <w:t>According to these</w:t>
      </w:r>
      <w:r w:rsidR="00FA30EA" w:rsidRPr="00032AD9">
        <w:rPr>
          <w:sz w:val="22"/>
          <w:szCs w:val="22"/>
          <w:lang w:val="en-US"/>
        </w:rPr>
        <w:t xml:space="preserve"> and other</w:t>
      </w:r>
      <w:r w:rsidRPr="00032AD9">
        <w:rPr>
          <w:sz w:val="22"/>
          <w:szCs w:val="22"/>
          <w:lang w:val="en-US"/>
        </w:rPr>
        <w:t xml:space="preserve"> several retrospective analyzes, it was consistently confirmed that the presence of early recurrence </w:t>
      </w:r>
      <w:r w:rsidR="00125000" w:rsidRPr="00032AD9">
        <w:rPr>
          <w:sz w:val="22"/>
          <w:szCs w:val="22"/>
          <w:lang w:val="en-US"/>
        </w:rPr>
        <w:t>o</w:t>
      </w:r>
      <w:r w:rsidRPr="00032AD9">
        <w:rPr>
          <w:sz w:val="22"/>
          <w:szCs w:val="22"/>
          <w:lang w:val="en-US"/>
        </w:rPr>
        <w:t>n planning MR</w:t>
      </w:r>
      <w:r w:rsidR="00263304" w:rsidRPr="00032AD9">
        <w:rPr>
          <w:sz w:val="22"/>
          <w:szCs w:val="22"/>
          <w:lang w:val="en-US"/>
        </w:rPr>
        <w:t>I</w:t>
      </w:r>
      <w:r w:rsidRPr="00032AD9">
        <w:rPr>
          <w:sz w:val="22"/>
          <w:szCs w:val="22"/>
          <w:lang w:val="en-US"/>
        </w:rPr>
        <w:t xml:space="preserve"> examination was associated with a more aggressive form of glioblastoma and worse overall survival </w:t>
      </w:r>
      <w:r w:rsidR="006E225F" w:rsidRPr="00032AD9">
        <w:rPr>
          <w:sz w:val="22"/>
          <w:szCs w:val="22"/>
          <w:lang w:val="en-US"/>
        </w:rPr>
        <w:t xml:space="preserve">[11-14]. </w:t>
      </w:r>
      <w:r w:rsidRPr="00032AD9">
        <w:rPr>
          <w:sz w:val="22"/>
          <w:szCs w:val="22"/>
          <w:lang w:val="en-US"/>
        </w:rPr>
        <w:t xml:space="preserve">Higher risk can be expected in patients after fewer radical resections </w:t>
      </w:r>
      <w:r w:rsidR="006E225F" w:rsidRPr="00032AD9">
        <w:rPr>
          <w:sz w:val="22"/>
          <w:szCs w:val="22"/>
          <w:lang w:val="en-US"/>
        </w:rPr>
        <w:t xml:space="preserve">[14]. </w:t>
      </w:r>
      <w:r w:rsidRPr="00032AD9">
        <w:rPr>
          <w:sz w:val="22"/>
          <w:szCs w:val="22"/>
          <w:lang w:val="en-US"/>
        </w:rPr>
        <w:t>What further affects the prognosis of patients with early relapse is also unclear. In one study, overall survival was significantly worse when MGMT methylation was not present</w:t>
      </w:r>
      <w:r w:rsidR="00125000" w:rsidRPr="00032AD9">
        <w:rPr>
          <w:sz w:val="22"/>
          <w:szCs w:val="22"/>
          <w:lang w:val="en-US"/>
        </w:rPr>
        <w:t xml:space="preserve"> in this group of patients</w:t>
      </w:r>
      <w:r w:rsidRPr="00032AD9">
        <w:rPr>
          <w:sz w:val="22"/>
          <w:szCs w:val="22"/>
          <w:lang w:val="en-US"/>
        </w:rPr>
        <w:t xml:space="preserve"> </w:t>
      </w:r>
      <w:r w:rsidR="00B125D3" w:rsidRPr="00032AD9">
        <w:rPr>
          <w:sz w:val="22"/>
          <w:szCs w:val="22"/>
          <w:lang w:val="en-US"/>
        </w:rPr>
        <w:t xml:space="preserve">[10]. </w:t>
      </w:r>
      <w:r w:rsidRPr="00032AD9">
        <w:rPr>
          <w:sz w:val="22"/>
          <w:szCs w:val="22"/>
          <w:lang w:val="en-US"/>
        </w:rPr>
        <w:t>Analysis of other potential biomarkers is insufficient. Given the large number of patients with REP and the retrospective analyzes available to date, it is important to prospectively analyze this more aggressive tumor group and try to more clinically influence the negative course of the disease in this particular group of patients.</w:t>
      </w:r>
    </w:p>
    <w:p w14:paraId="543FCC43" w14:textId="67AC3DB7" w:rsidR="00182AE8" w:rsidRPr="00032AD9" w:rsidRDefault="00933322" w:rsidP="00B55C3A">
      <w:pPr>
        <w:ind w:firstLine="709"/>
        <w:jc w:val="both"/>
        <w:rPr>
          <w:sz w:val="22"/>
          <w:szCs w:val="22"/>
          <w:lang w:val="en-US"/>
        </w:rPr>
      </w:pPr>
      <w:r w:rsidRPr="00032AD9">
        <w:rPr>
          <w:sz w:val="22"/>
          <w:szCs w:val="22"/>
          <w:lang w:val="en-US"/>
        </w:rPr>
        <w:t xml:space="preserve">Currently, it is not clear what is the optimal approach in patients </w:t>
      </w:r>
      <w:r w:rsidR="00125000" w:rsidRPr="00032AD9">
        <w:rPr>
          <w:sz w:val="22"/>
          <w:szCs w:val="22"/>
          <w:lang w:val="en-US"/>
        </w:rPr>
        <w:t xml:space="preserve">with </w:t>
      </w:r>
      <w:r w:rsidRPr="00032AD9">
        <w:rPr>
          <w:sz w:val="22"/>
          <w:szCs w:val="22"/>
          <w:lang w:val="en-US"/>
        </w:rPr>
        <w:t xml:space="preserve">REP. Whether to indicate reoperation of recurrence, to choose accelerated </w:t>
      </w:r>
      <w:r w:rsidR="00864D2A" w:rsidRPr="00032AD9">
        <w:rPr>
          <w:sz w:val="22"/>
          <w:szCs w:val="22"/>
          <w:lang w:val="en-US"/>
        </w:rPr>
        <w:t>RT</w:t>
      </w:r>
      <w:r w:rsidRPr="00032AD9">
        <w:rPr>
          <w:sz w:val="22"/>
          <w:szCs w:val="22"/>
          <w:lang w:val="en-US"/>
        </w:rPr>
        <w:t xml:space="preserve"> regimes with or without concurrent chemotherapy </w:t>
      </w:r>
      <w:r w:rsidRPr="00032AD9">
        <w:rPr>
          <w:sz w:val="22"/>
          <w:szCs w:val="22"/>
          <w:lang w:val="en-US"/>
        </w:rPr>
        <w:lastRenderedPageBreak/>
        <w:t xml:space="preserve">or administration of more aggressive and intensive chemotherapy with combined alkylating cytostatics </w:t>
      </w:r>
      <w:r w:rsidR="005B67A4" w:rsidRPr="00032AD9">
        <w:rPr>
          <w:sz w:val="22"/>
          <w:szCs w:val="22"/>
          <w:lang w:val="en-US"/>
        </w:rPr>
        <w:t>7</w:t>
      </w:r>
      <w:r w:rsidRPr="00032AD9">
        <w:rPr>
          <w:sz w:val="22"/>
          <w:szCs w:val="22"/>
          <w:lang w:val="en-US"/>
        </w:rPr>
        <w:t>in the presence of MGMT methylation</w:t>
      </w:r>
      <w:r w:rsidR="005B67A4" w:rsidRPr="00032AD9">
        <w:rPr>
          <w:sz w:val="22"/>
          <w:szCs w:val="22"/>
          <w:lang w:val="en-US"/>
        </w:rPr>
        <w:t>, marker of higher radiosensitivity [7]</w:t>
      </w:r>
      <w:r w:rsidRPr="00032AD9">
        <w:rPr>
          <w:sz w:val="22"/>
          <w:szCs w:val="22"/>
          <w:lang w:val="en-US"/>
        </w:rPr>
        <w:t>. Treatment of these patients today is no</w:t>
      </w:r>
      <w:r w:rsidR="00CC3618" w:rsidRPr="00032AD9">
        <w:rPr>
          <w:sz w:val="22"/>
          <w:szCs w:val="22"/>
          <w:lang w:val="en-US"/>
        </w:rPr>
        <w:t>t</w:t>
      </w:r>
      <w:r w:rsidRPr="00032AD9">
        <w:rPr>
          <w:sz w:val="22"/>
          <w:szCs w:val="22"/>
          <w:lang w:val="en-US"/>
        </w:rPr>
        <w:t xml:space="preserve"> different from patients without REP, and if so, it is purely an individual approach. Clearly, these patients biased previous clinical trials where no routine preRT MR</w:t>
      </w:r>
      <w:r w:rsidR="00263304" w:rsidRPr="00032AD9">
        <w:rPr>
          <w:sz w:val="22"/>
          <w:szCs w:val="22"/>
          <w:lang w:val="en-US"/>
        </w:rPr>
        <w:t>I</w:t>
      </w:r>
      <w:r w:rsidRPr="00032AD9">
        <w:rPr>
          <w:sz w:val="22"/>
          <w:szCs w:val="22"/>
          <w:lang w:val="en-US"/>
        </w:rPr>
        <w:t xml:space="preserve"> examination was performed. Currently, these patients are usually excluded from clinical trials, moreover, recent studies often randomize patients after the competition of standard adjuvant chemo</w:t>
      </w:r>
      <w:r w:rsidR="00864D2A" w:rsidRPr="00032AD9">
        <w:rPr>
          <w:sz w:val="22"/>
          <w:szCs w:val="22"/>
          <w:lang w:val="en-US"/>
        </w:rPr>
        <w:t>RT</w:t>
      </w:r>
      <w:r w:rsidRPr="00032AD9">
        <w:rPr>
          <w:sz w:val="22"/>
          <w:szCs w:val="22"/>
          <w:lang w:val="en-US"/>
        </w:rPr>
        <w:t xml:space="preserve"> without any clear progression on the first post chemoRT MR</w:t>
      </w:r>
      <w:r w:rsidR="00263304" w:rsidRPr="00032AD9">
        <w:rPr>
          <w:sz w:val="22"/>
          <w:szCs w:val="22"/>
          <w:lang w:val="en-US"/>
        </w:rPr>
        <w:t>I</w:t>
      </w:r>
      <w:r w:rsidRPr="00032AD9">
        <w:rPr>
          <w:sz w:val="22"/>
          <w:szCs w:val="22"/>
          <w:lang w:val="en-US"/>
        </w:rPr>
        <w:t>. REP in MR</w:t>
      </w:r>
      <w:r w:rsidR="00263304" w:rsidRPr="00032AD9">
        <w:rPr>
          <w:sz w:val="22"/>
          <w:szCs w:val="22"/>
          <w:lang w:val="en-US"/>
        </w:rPr>
        <w:t>I</w:t>
      </w:r>
      <w:r w:rsidRPr="00032AD9">
        <w:rPr>
          <w:sz w:val="22"/>
          <w:szCs w:val="22"/>
          <w:lang w:val="en-US"/>
        </w:rPr>
        <w:t xml:space="preserve"> planning is a significant negative prognostic factor that should be a stratification factor in future clinical trials. The basic problem is the postoperative prediction of early recurrence.</w:t>
      </w:r>
      <w:r w:rsidR="00FE50DB" w:rsidRPr="00032AD9">
        <w:rPr>
          <w:sz w:val="22"/>
          <w:szCs w:val="22"/>
          <w:lang w:val="en-US"/>
        </w:rPr>
        <w:t xml:space="preserve"> </w:t>
      </w:r>
      <w:r w:rsidR="00182AE8" w:rsidRPr="00032AD9">
        <w:rPr>
          <w:sz w:val="22"/>
          <w:szCs w:val="22"/>
          <w:lang w:val="en-US"/>
        </w:rPr>
        <w:t>In general, t</w:t>
      </w:r>
      <w:r w:rsidR="00EE29D4" w:rsidRPr="00032AD9">
        <w:rPr>
          <w:sz w:val="22"/>
          <w:szCs w:val="22"/>
          <w:lang w:val="en-US"/>
        </w:rPr>
        <w:t>he progressive feature of GB is done by its microenvironment, molecular background of glioma cells, and miRNA profile that</w:t>
      </w:r>
      <w:r w:rsidR="004629BF" w:rsidRPr="00032AD9">
        <w:rPr>
          <w:sz w:val="22"/>
          <w:szCs w:val="22"/>
          <w:lang w:val="en-US"/>
        </w:rPr>
        <w:t xml:space="preserve">, as was shown </w:t>
      </w:r>
      <w:r w:rsidR="00CC3618" w:rsidRPr="00032AD9">
        <w:rPr>
          <w:sz w:val="22"/>
          <w:szCs w:val="22"/>
          <w:lang w:val="en-US"/>
        </w:rPr>
        <w:t xml:space="preserve">also </w:t>
      </w:r>
      <w:r w:rsidR="004629BF" w:rsidRPr="00032AD9">
        <w:rPr>
          <w:sz w:val="22"/>
          <w:szCs w:val="22"/>
          <w:lang w:val="en-US"/>
        </w:rPr>
        <w:t>by the members of our team,</w:t>
      </w:r>
      <w:r w:rsidR="00EE29D4" w:rsidRPr="00032AD9">
        <w:rPr>
          <w:sz w:val="22"/>
          <w:szCs w:val="22"/>
          <w:lang w:val="en-US"/>
        </w:rPr>
        <w:t xml:space="preserve"> is significant in </w:t>
      </w:r>
      <w:r w:rsidR="00B07F12" w:rsidRPr="00032AD9">
        <w:rPr>
          <w:sz w:val="22"/>
          <w:szCs w:val="22"/>
          <w:lang w:val="en-US"/>
        </w:rPr>
        <w:t>GB</w:t>
      </w:r>
      <w:r w:rsidR="00EE29D4" w:rsidRPr="00032AD9">
        <w:rPr>
          <w:sz w:val="22"/>
          <w:szCs w:val="22"/>
          <w:lang w:val="en-US"/>
        </w:rPr>
        <w:t xml:space="preserve"> oncogenic signaling and has potential to serve as a disease biomarker and a novel therapeutic target in oncology</w:t>
      </w:r>
      <w:r w:rsidR="008D043F" w:rsidRPr="00032AD9">
        <w:rPr>
          <w:sz w:val="22"/>
          <w:szCs w:val="22"/>
          <w:lang w:val="en-US"/>
        </w:rPr>
        <w:t xml:space="preserve"> </w:t>
      </w:r>
      <w:r w:rsidR="00B125D3" w:rsidRPr="00032AD9">
        <w:rPr>
          <w:sz w:val="22"/>
          <w:szCs w:val="22"/>
          <w:lang w:val="en-US"/>
        </w:rPr>
        <w:t xml:space="preserve">[15-21]. </w:t>
      </w:r>
      <w:r w:rsidR="002431B4" w:rsidRPr="00032AD9">
        <w:rPr>
          <w:sz w:val="22"/>
          <w:szCs w:val="22"/>
          <w:lang w:val="en-US"/>
        </w:rPr>
        <w:t xml:space="preserve"> </w:t>
      </w:r>
    </w:p>
    <w:p w14:paraId="2E8BFE28" w14:textId="77777777" w:rsidR="00182AE8" w:rsidRPr="00032AD9" w:rsidRDefault="00182AE8" w:rsidP="00B55C3A">
      <w:pPr>
        <w:ind w:firstLine="709"/>
        <w:jc w:val="both"/>
        <w:rPr>
          <w:sz w:val="22"/>
          <w:szCs w:val="22"/>
          <w:lang w:val="en-US"/>
        </w:rPr>
      </w:pPr>
    </w:p>
    <w:p w14:paraId="4BA219E0" w14:textId="77777777" w:rsidR="002C446E" w:rsidRPr="00032AD9" w:rsidRDefault="002C446E" w:rsidP="00B55C3A">
      <w:pPr>
        <w:autoSpaceDE w:val="0"/>
        <w:autoSpaceDN w:val="0"/>
        <w:adjustRightInd w:val="0"/>
        <w:jc w:val="both"/>
        <w:rPr>
          <w:i/>
          <w:iCs/>
          <w:sz w:val="22"/>
          <w:szCs w:val="22"/>
          <w:lang w:val="en-US"/>
        </w:rPr>
      </w:pPr>
      <w:r w:rsidRPr="00032AD9">
        <w:rPr>
          <w:i/>
          <w:iCs/>
          <w:sz w:val="22"/>
          <w:szCs w:val="22"/>
          <w:lang w:val="en-US"/>
        </w:rPr>
        <w:t xml:space="preserve">Amino acid </w:t>
      </w:r>
      <w:r w:rsidR="00B55C3A" w:rsidRPr="00032AD9">
        <w:rPr>
          <w:i/>
          <w:iCs/>
          <w:sz w:val="22"/>
          <w:szCs w:val="22"/>
          <w:lang w:val="en-US"/>
        </w:rPr>
        <w:t xml:space="preserve">Carbon-11-labeled methionine PET </w:t>
      </w:r>
      <w:r w:rsidR="00F125B6" w:rsidRPr="00032AD9">
        <w:rPr>
          <w:i/>
          <w:iCs/>
          <w:sz w:val="22"/>
          <w:szCs w:val="22"/>
          <w:lang w:val="en-US"/>
        </w:rPr>
        <w:t>(MET PET)</w:t>
      </w:r>
      <w:r w:rsidRPr="00032AD9">
        <w:rPr>
          <w:i/>
          <w:iCs/>
          <w:sz w:val="22"/>
          <w:szCs w:val="22"/>
          <w:lang w:val="en-US"/>
        </w:rPr>
        <w:t xml:space="preserve"> is the most widely studied tracer for molecular imaging</w:t>
      </w:r>
      <w:r w:rsidR="00FE50DB" w:rsidRPr="00032AD9">
        <w:rPr>
          <w:i/>
          <w:iCs/>
          <w:sz w:val="22"/>
          <w:szCs w:val="22"/>
          <w:lang w:val="en-US"/>
        </w:rPr>
        <w:t xml:space="preserve"> </w:t>
      </w:r>
      <w:r w:rsidRPr="00032AD9">
        <w:rPr>
          <w:i/>
          <w:iCs/>
          <w:sz w:val="22"/>
          <w:szCs w:val="22"/>
          <w:lang w:val="en-US"/>
        </w:rPr>
        <w:t>in glioma</w:t>
      </w:r>
    </w:p>
    <w:p w14:paraId="24C77BF2" w14:textId="3BDFF42A" w:rsidR="00B55C3A" w:rsidRPr="00032AD9" w:rsidRDefault="002C446E" w:rsidP="00B55C3A">
      <w:pPr>
        <w:autoSpaceDE w:val="0"/>
        <w:autoSpaceDN w:val="0"/>
        <w:adjustRightInd w:val="0"/>
        <w:ind w:firstLine="708"/>
        <w:jc w:val="both"/>
        <w:rPr>
          <w:sz w:val="22"/>
          <w:szCs w:val="22"/>
          <w:lang w:val="en-US" w:eastAsia="en-US"/>
        </w:rPr>
      </w:pPr>
      <w:r w:rsidRPr="00032AD9">
        <w:rPr>
          <w:sz w:val="22"/>
          <w:szCs w:val="22"/>
          <w:lang w:val="en-US" w:eastAsia="en-US"/>
        </w:rPr>
        <w:t>Positron emission tomography is currently becoming progressively more established</w:t>
      </w:r>
      <w:r w:rsidR="0057692C" w:rsidRPr="00032AD9">
        <w:rPr>
          <w:sz w:val="22"/>
          <w:szCs w:val="22"/>
          <w:lang w:val="en-US" w:eastAsia="en-US"/>
        </w:rPr>
        <w:t xml:space="preserve"> </w:t>
      </w:r>
      <w:r w:rsidRPr="00032AD9">
        <w:rPr>
          <w:sz w:val="22"/>
          <w:szCs w:val="22"/>
          <w:lang w:val="en-US" w:eastAsia="en-US"/>
        </w:rPr>
        <w:t>part of brain imaging in both pretreatment</w:t>
      </w:r>
      <w:r w:rsidR="0057692C" w:rsidRPr="00032AD9">
        <w:rPr>
          <w:sz w:val="22"/>
          <w:szCs w:val="22"/>
          <w:lang w:val="en-US" w:eastAsia="en-US"/>
        </w:rPr>
        <w:t xml:space="preserve"> </w:t>
      </w:r>
      <w:r w:rsidRPr="00032AD9">
        <w:rPr>
          <w:sz w:val="22"/>
          <w:szCs w:val="22"/>
          <w:lang w:val="en-US" w:eastAsia="en-US"/>
        </w:rPr>
        <w:t>as well as follow</w:t>
      </w:r>
      <w:r w:rsidR="0057692C" w:rsidRPr="00032AD9">
        <w:rPr>
          <w:sz w:val="22"/>
          <w:szCs w:val="22"/>
          <w:lang w:val="en-US" w:eastAsia="en-US"/>
        </w:rPr>
        <w:t xml:space="preserve"> </w:t>
      </w:r>
      <w:r w:rsidRPr="00032AD9">
        <w:rPr>
          <w:sz w:val="22"/>
          <w:szCs w:val="22"/>
          <w:lang w:val="en-US" w:eastAsia="en-US"/>
        </w:rPr>
        <w:t>up</w:t>
      </w:r>
      <w:r w:rsidR="0057692C" w:rsidRPr="00032AD9">
        <w:rPr>
          <w:sz w:val="22"/>
          <w:szCs w:val="22"/>
          <w:lang w:val="en-US" w:eastAsia="en-US"/>
        </w:rPr>
        <w:t xml:space="preserve"> </w:t>
      </w:r>
      <w:r w:rsidRPr="00032AD9">
        <w:rPr>
          <w:sz w:val="22"/>
          <w:szCs w:val="22"/>
          <w:lang w:val="en-US" w:eastAsia="en-US"/>
        </w:rPr>
        <w:t>examination. There is increasing</w:t>
      </w:r>
      <w:r w:rsidR="0057692C" w:rsidRPr="00032AD9">
        <w:rPr>
          <w:sz w:val="22"/>
          <w:szCs w:val="22"/>
          <w:lang w:val="en-US" w:eastAsia="en-US"/>
        </w:rPr>
        <w:t xml:space="preserve"> </w:t>
      </w:r>
      <w:r w:rsidRPr="00032AD9">
        <w:rPr>
          <w:sz w:val="22"/>
          <w:szCs w:val="22"/>
          <w:lang w:val="en-US" w:eastAsia="en-US"/>
        </w:rPr>
        <w:t xml:space="preserve">evidence supporting implementation of PET imaging into brain cancer management </w:t>
      </w:r>
      <w:r w:rsidR="00B125D3" w:rsidRPr="00032AD9">
        <w:rPr>
          <w:sz w:val="22"/>
          <w:szCs w:val="22"/>
          <w:lang w:val="en-US"/>
        </w:rPr>
        <w:t xml:space="preserve">[22]. </w:t>
      </w:r>
      <w:r w:rsidRPr="00032AD9">
        <w:rPr>
          <w:sz w:val="22"/>
          <w:szCs w:val="22"/>
          <w:lang w:val="en-US" w:eastAsia="en-US"/>
        </w:rPr>
        <w:t>However,</w:t>
      </w:r>
      <w:r w:rsidR="0057692C" w:rsidRPr="00032AD9">
        <w:rPr>
          <w:sz w:val="22"/>
          <w:szCs w:val="22"/>
          <w:lang w:val="en-US" w:eastAsia="en-US"/>
        </w:rPr>
        <w:t xml:space="preserve"> </w:t>
      </w:r>
      <w:r w:rsidRPr="00032AD9">
        <w:rPr>
          <w:sz w:val="22"/>
          <w:szCs w:val="22"/>
          <w:lang w:val="en-US" w:eastAsia="en-US"/>
        </w:rPr>
        <w:t>modern PET facilities with an inhouse</w:t>
      </w:r>
      <w:r w:rsidR="0057692C" w:rsidRPr="00032AD9">
        <w:rPr>
          <w:sz w:val="22"/>
          <w:szCs w:val="22"/>
          <w:lang w:val="en-US" w:eastAsia="en-US"/>
        </w:rPr>
        <w:t xml:space="preserve"> </w:t>
      </w:r>
      <w:r w:rsidRPr="00032AD9">
        <w:rPr>
          <w:sz w:val="22"/>
          <w:szCs w:val="22"/>
          <w:lang w:val="en-US" w:eastAsia="en-US"/>
        </w:rPr>
        <w:t>cyclotron are not widely available contributing to necessity of</w:t>
      </w:r>
      <w:r w:rsidR="0057692C" w:rsidRPr="00032AD9">
        <w:rPr>
          <w:sz w:val="22"/>
          <w:szCs w:val="22"/>
          <w:lang w:val="en-US" w:eastAsia="en-US"/>
        </w:rPr>
        <w:t xml:space="preserve"> </w:t>
      </w:r>
      <w:r w:rsidRPr="00032AD9">
        <w:rPr>
          <w:sz w:val="22"/>
          <w:szCs w:val="22"/>
          <w:lang w:val="en-US" w:eastAsia="en-US"/>
        </w:rPr>
        <w:t>centralized care for offering of state</w:t>
      </w:r>
      <w:r w:rsidR="0057692C" w:rsidRPr="00032AD9">
        <w:rPr>
          <w:sz w:val="22"/>
          <w:szCs w:val="22"/>
          <w:lang w:val="en-US" w:eastAsia="en-US"/>
        </w:rPr>
        <w:t>-</w:t>
      </w:r>
      <w:r w:rsidRPr="00032AD9">
        <w:rPr>
          <w:sz w:val="22"/>
          <w:szCs w:val="22"/>
          <w:lang w:val="en-US" w:eastAsia="en-US"/>
        </w:rPr>
        <w:t>of</w:t>
      </w:r>
      <w:r w:rsidR="0057692C" w:rsidRPr="00032AD9">
        <w:rPr>
          <w:sz w:val="22"/>
          <w:szCs w:val="22"/>
          <w:lang w:val="en-US" w:eastAsia="en-US"/>
        </w:rPr>
        <w:t>-</w:t>
      </w:r>
      <w:r w:rsidRPr="00032AD9">
        <w:rPr>
          <w:sz w:val="22"/>
          <w:szCs w:val="22"/>
          <w:lang w:val="en-US" w:eastAsia="en-US"/>
        </w:rPr>
        <w:t>the</w:t>
      </w:r>
      <w:r w:rsidR="0057692C" w:rsidRPr="00032AD9">
        <w:rPr>
          <w:sz w:val="22"/>
          <w:szCs w:val="22"/>
          <w:lang w:val="en-US" w:eastAsia="en-US"/>
        </w:rPr>
        <w:t>-</w:t>
      </w:r>
      <w:r w:rsidRPr="00032AD9">
        <w:rPr>
          <w:sz w:val="22"/>
          <w:szCs w:val="22"/>
          <w:lang w:val="en-US" w:eastAsia="en-US"/>
        </w:rPr>
        <w:t>art</w:t>
      </w:r>
      <w:r w:rsidR="0057692C" w:rsidRPr="00032AD9">
        <w:rPr>
          <w:sz w:val="22"/>
          <w:szCs w:val="22"/>
          <w:lang w:val="en-US" w:eastAsia="en-US"/>
        </w:rPr>
        <w:t xml:space="preserve"> </w:t>
      </w:r>
      <w:r w:rsidRPr="00032AD9">
        <w:rPr>
          <w:sz w:val="22"/>
          <w:szCs w:val="22"/>
          <w:lang w:val="en-US" w:eastAsia="en-US"/>
        </w:rPr>
        <w:t xml:space="preserve">comprehensive </w:t>
      </w:r>
      <w:r w:rsidR="00EB3668" w:rsidRPr="00032AD9">
        <w:rPr>
          <w:sz w:val="22"/>
          <w:szCs w:val="22"/>
          <w:lang w:val="en-US" w:eastAsia="en-US"/>
        </w:rPr>
        <w:t xml:space="preserve">neurooncology </w:t>
      </w:r>
      <w:r w:rsidRPr="00032AD9">
        <w:rPr>
          <w:sz w:val="22"/>
          <w:szCs w:val="22"/>
          <w:lang w:val="en-US" w:eastAsia="en-US"/>
        </w:rPr>
        <w:t>care. Further developments and supports</w:t>
      </w:r>
      <w:r w:rsidR="0057692C" w:rsidRPr="00032AD9">
        <w:rPr>
          <w:sz w:val="22"/>
          <w:szCs w:val="22"/>
          <w:lang w:val="en-US" w:eastAsia="en-US"/>
        </w:rPr>
        <w:t xml:space="preserve"> </w:t>
      </w:r>
      <w:r w:rsidRPr="00032AD9">
        <w:rPr>
          <w:sz w:val="22"/>
          <w:szCs w:val="22"/>
          <w:lang w:val="en-US" w:eastAsia="en-US"/>
        </w:rPr>
        <w:t>must be focused not only on construction of new PET camera facilities, but also on implementation of</w:t>
      </w:r>
      <w:r w:rsidR="0057692C" w:rsidRPr="00032AD9">
        <w:rPr>
          <w:sz w:val="22"/>
          <w:szCs w:val="22"/>
          <w:lang w:val="en-US" w:eastAsia="en-US"/>
        </w:rPr>
        <w:t xml:space="preserve"> </w:t>
      </w:r>
      <w:r w:rsidRPr="00032AD9">
        <w:rPr>
          <w:sz w:val="22"/>
          <w:szCs w:val="22"/>
          <w:lang w:val="en-US" w:eastAsia="en-US"/>
        </w:rPr>
        <w:t xml:space="preserve">new advanced PET techniques in already established PET centers equipped </w:t>
      </w:r>
      <w:r w:rsidR="0057692C" w:rsidRPr="00032AD9">
        <w:rPr>
          <w:sz w:val="22"/>
          <w:szCs w:val="22"/>
          <w:lang w:val="en-US" w:eastAsia="en-US"/>
        </w:rPr>
        <w:t>by</w:t>
      </w:r>
      <w:r w:rsidRPr="00032AD9">
        <w:rPr>
          <w:sz w:val="22"/>
          <w:szCs w:val="22"/>
          <w:lang w:val="en-US" w:eastAsia="en-US"/>
        </w:rPr>
        <w:t xml:space="preserve"> cyclotron</w:t>
      </w:r>
      <w:r w:rsidR="0057692C" w:rsidRPr="00032AD9">
        <w:rPr>
          <w:sz w:val="22"/>
          <w:szCs w:val="22"/>
          <w:lang w:val="en-US" w:eastAsia="en-US"/>
        </w:rPr>
        <w:t xml:space="preserve"> </w:t>
      </w:r>
      <w:r w:rsidRPr="00032AD9">
        <w:rPr>
          <w:sz w:val="22"/>
          <w:szCs w:val="22"/>
          <w:lang w:val="en-US" w:eastAsia="en-US"/>
        </w:rPr>
        <w:t xml:space="preserve">(developments in MET, FLT, FET or FDOPA tracers for example) </w:t>
      </w:r>
      <w:r w:rsidR="00B125D3" w:rsidRPr="00032AD9">
        <w:rPr>
          <w:sz w:val="22"/>
          <w:szCs w:val="22"/>
          <w:lang w:val="en-US"/>
        </w:rPr>
        <w:t xml:space="preserve">[23,24]. </w:t>
      </w:r>
      <w:r w:rsidR="00B55C3A" w:rsidRPr="00032AD9">
        <w:rPr>
          <w:sz w:val="22"/>
          <w:szCs w:val="22"/>
          <w:lang w:val="en-US" w:eastAsia="en-US"/>
        </w:rPr>
        <w:t>Amino acid tracers´ uptake reflects amino acid transport and proteosynthesis which are increased in most types of tumors including gliomas when compared to normal surrounding tissues. Resulted higher tumor-to-normal brain ratio (T/N ratio) provides higher contrast and tumor discrimination comparing to FDG even through lower absolute standard uptake values (SUV). However, because amino acid tracer transport is independent of blood brain barrier breakdown, there is visible PET uptake for tumors that do not enhance on MR</w:t>
      </w:r>
      <w:r w:rsidR="00263304" w:rsidRPr="00032AD9">
        <w:rPr>
          <w:sz w:val="22"/>
          <w:szCs w:val="22"/>
          <w:lang w:val="en-US" w:eastAsia="en-US"/>
        </w:rPr>
        <w:t>I</w:t>
      </w:r>
      <w:r w:rsidR="00B55C3A" w:rsidRPr="00032AD9">
        <w:rPr>
          <w:sz w:val="22"/>
          <w:szCs w:val="22"/>
          <w:lang w:val="en-US" w:eastAsia="en-US"/>
        </w:rPr>
        <w:t xml:space="preserve"> or for aggressive parts of tumor with no MR</w:t>
      </w:r>
      <w:r w:rsidR="00263304" w:rsidRPr="00032AD9">
        <w:rPr>
          <w:sz w:val="22"/>
          <w:szCs w:val="22"/>
          <w:lang w:val="en-US" w:eastAsia="en-US"/>
        </w:rPr>
        <w:t>I</w:t>
      </w:r>
      <w:r w:rsidR="00B55C3A" w:rsidRPr="00032AD9">
        <w:rPr>
          <w:sz w:val="22"/>
          <w:szCs w:val="22"/>
          <w:lang w:val="en-US" w:eastAsia="en-US"/>
        </w:rPr>
        <w:t xml:space="preserve"> contrast uptake yet.</w:t>
      </w:r>
    </w:p>
    <w:p w14:paraId="13EAB707" w14:textId="77777777" w:rsidR="00B55C3A" w:rsidRPr="00032AD9" w:rsidRDefault="00B55C3A" w:rsidP="00B55C3A">
      <w:pPr>
        <w:ind w:firstLine="709"/>
        <w:jc w:val="both"/>
        <w:rPr>
          <w:sz w:val="22"/>
          <w:szCs w:val="22"/>
          <w:lang w:val="en-US" w:eastAsia="en-US"/>
        </w:rPr>
      </w:pPr>
      <w:r w:rsidRPr="00032AD9">
        <w:rPr>
          <w:sz w:val="22"/>
          <w:szCs w:val="22"/>
          <w:lang w:val="en-US" w:eastAsia="en-US"/>
        </w:rPr>
        <w:t xml:space="preserve">MET PET plays an especially important role in improving diagnostic procedures for treating brain tumors. [11C] Methionine is not taken up by normal brain tissue to a marked degree, and the sensitivity of MET PET for detecting glioma tumors appears to be high (11–16). MET PET uptake by normal brain parenchyma is relatively low, and so MET PET shows promise for assessing cerebral tumor dimensions. It has been suggested that MET PET may more precisely outline the true extent of viable tumor tissue than MRI, whereas MRI has the capability to better delineate the total extent of associated pathologic changes, such as edema, in adjacent brain areas </w:t>
      </w:r>
      <w:r w:rsidR="00B125D3" w:rsidRPr="00032AD9">
        <w:rPr>
          <w:sz w:val="22"/>
          <w:szCs w:val="22"/>
          <w:lang w:val="en-US"/>
        </w:rPr>
        <w:t>[25,26].</w:t>
      </w:r>
      <w:r w:rsidRPr="00032AD9">
        <w:rPr>
          <w:sz w:val="22"/>
          <w:szCs w:val="22"/>
          <w:lang w:val="en-US" w:eastAsia="en-US"/>
        </w:rPr>
        <w:t xml:space="preserve"> </w:t>
      </w:r>
      <w:r w:rsidR="00437022" w:rsidRPr="00032AD9">
        <w:rPr>
          <w:sz w:val="22"/>
          <w:szCs w:val="22"/>
          <w:lang w:val="en-US" w:eastAsia="en-US"/>
        </w:rPr>
        <w:t>Utility of MET PET was also successfully tested in our institution</w:t>
      </w:r>
      <w:r w:rsidR="00F61FC9" w:rsidRPr="00032AD9">
        <w:rPr>
          <w:sz w:val="22"/>
          <w:szCs w:val="22"/>
          <w:lang w:val="en-US" w:eastAsia="en-US"/>
        </w:rPr>
        <w:t xml:space="preserve"> </w:t>
      </w:r>
      <w:r w:rsidR="00B125D3" w:rsidRPr="00032AD9">
        <w:rPr>
          <w:sz w:val="22"/>
          <w:szCs w:val="22"/>
          <w:lang w:val="en-US"/>
        </w:rPr>
        <w:t xml:space="preserve">[27]. </w:t>
      </w:r>
      <w:r w:rsidR="00437022" w:rsidRPr="00032AD9">
        <w:rPr>
          <w:sz w:val="22"/>
          <w:szCs w:val="22"/>
          <w:lang w:val="en-US" w:eastAsia="en-US"/>
        </w:rPr>
        <w:t xml:space="preserve">  </w:t>
      </w:r>
    </w:p>
    <w:p w14:paraId="2E7C3F4B" w14:textId="77777777" w:rsidR="00B55C3A" w:rsidRPr="00032AD9" w:rsidRDefault="00B55C3A" w:rsidP="00B55C3A">
      <w:pPr>
        <w:ind w:firstLine="709"/>
        <w:jc w:val="both"/>
        <w:rPr>
          <w:sz w:val="22"/>
          <w:szCs w:val="22"/>
          <w:lang w:val="en-US" w:eastAsia="en-US"/>
        </w:rPr>
      </w:pPr>
      <w:r w:rsidRPr="00032AD9">
        <w:rPr>
          <w:sz w:val="22"/>
          <w:szCs w:val="22"/>
          <w:lang w:val="en-US" w:eastAsia="en-US"/>
        </w:rPr>
        <w:t xml:space="preserve">MET PET tumor/normal tissue index of 1.3 was considered the threshold for malignant activity based on correlation to stereotactic histopathology examination. It is not clear which threshold value for the tumor/normal tissue index should become the reference value for determining GBM. For primary brain tumor, some reports have used 1.3 or 1.7 to determine the threshold value </w:t>
      </w:r>
      <w:r w:rsidR="00B125D3" w:rsidRPr="00032AD9">
        <w:rPr>
          <w:sz w:val="22"/>
          <w:szCs w:val="22"/>
          <w:lang w:val="en-US"/>
        </w:rPr>
        <w:t xml:space="preserve">[28-30]. </w:t>
      </w:r>
    </w:p>
    <w:p w14:paraId="6F94D91D" w14:textId="3E90FBD8" w:rsidR="0011300C" w:rsidRPr="00032AD9" w:rsidRDefault="00B55C3A" w:rsidP="00B55C3A">
      <w:pPr>
        <w:ind w:firstLine="709"/>
        <w:jc w:val="both"/>
        <w:rPr>
          <w:sz w:val="22"/>
          <w:szCs w:val="22"/>
          <w:lang w:val="en-US"/>
        </w:rPr>
      </w:pPr>
      <w:r w:rsidRPr="00032AD9">
        <w:rPr>
          <w:sz w:val="22"/>
          <w:szCs w:val="22"/>
          <w:lang w:val="en-US" w:eastAsia="en-US"/>
        </w:rPr>
        <w:t>Usage of</w:t>
      </w:r>
      <w:r w:rsidR="0031591B" w:rsidRPr="00032AD9">
        <w:rPr>
          <w:sz w:val="22"/>
          <w:szCs w:val="22"/>
          <w:lang w:val="en-US" w:eastAsia="en-US"/>
        </w:rPr>
        <w:t xml:space="preserve"> </w:t>
      </w:r>
      <w:r w:rsidRPr="00032AD9">
        <w:rPr>
          <w:sz w:val="22"/>
          <w:szCs w:val="22"/>
          <w:lang w:val="en-US" w:eastAsia="en-US"/>
        </w:rPr>
        <w:t xml:space="preserve">MET </w:t>
      </w:r>
      <w:r w:rsidR="0031591B" w:rsidRPr="00032AD9">
        <w:rPr>
          <w:sz w:val="22"/>
          <w:szCs w:val="22"/>
          <w:lang w:val="en-US" w:eastAsia="en-US"/>
        </w:rPr>
        <w:t xml:space="preserve">PET </w:t>
      </w:r>
      <w:r w:rsidRPr="00032AD9">
        <w:rPr>
          <w:sz w:val="22"/>
          <w:szCs w:val="22"/>
          <w:lang w:val="en-US" w:eastAsia="en-US"/>
        </w:rPr>
        <w:t xml:space="preserve">is </w:t>
      </w:r>
      <w:r w:rsidR="0031591B" w:rsidRPr="00032AD9">
        <w:rPr>
          <w:sz w:val="22"/>
          <w:szCs w:val="22"/>
          <w:lang w:val="en-US" w:eastAsia="en-US"/>
        </w:rPr>
        <w:t>limited by its short half-life to centers with its own cyclotron enabling the manufacture of radiopharmaceuticals</w:t>
      </w:r>
      <w:r w:rsidRPr="00032AD9">
        <w:rPr>
          <w:sz w:val="22"/>
          <w:szCs w:val="22"/>
          <w:lang w:val="en-US" w:eastAsia="en-US"/>
        </w:rPr>
        <w:t xml:space="preserve">. Patients with REP of GB </w:t>
      </w:r>
      <w:r w:rsidR="0031591B" w:rsidRPr="00032AD9">
        <w:rPr>
          <w:sz w:val="22"/>
          <w:szCs w:val="22"/>
          <w:lang w:val="en-US" w:eastAsia="en-US"/>
        </w:rPr>
        <w:t>need to start oncological treatment as soon as possible</w:t>
      </w:r>
      <w:r w:rsidRPr="00032AD9">
        <w:rPr>
          <w:sz w:val="22"/>
          <w:szCs w:val="22"/>
          <w:lang w:val="en-US" w:eastAsia="en-US"/>
        </w:rPr>
        <w:t xml:space="preserve"> and i</w:t>
      </w:r>
      <w:r w:rsidR="0031591B" w:rsidRPr="00032AD9">
        <w:rPr>
          <w:sz w:val="22"/>
          <w:szCs w:val="22"/>
          <w:lang w:val="en-US" w:eastAsia="en-US"/>
        </w:rPr>
        <w:t xml:space="preserve">t is not ethical to wait for other commercially available radiopharmaceuticals </w:t>
      </w:r>
      <w:r w:rsidR="000C273E" w:rsidRPr="00032AD9">
        <w:rPr>
          <w:sz w:val="22"/>
          <w:szCs w:val="22"/>
          <w:lang w:val="en-US" w:eastAsia="en-US"/>
        </w:rPr>
        <w:t xml:space="preserve">(FET, FLT and others) </w:t>
      </w:r>
      <w:r w:rsidR="0031591B" w:rsidRPr="00032AD9">
        <w:rPr>
          <w:sz w:val="22"/>
          <w:szCs w:val="22"/>
          <w:lang w:val="en-US" w:eastAsia="en-US"/>
        </w:rPr>
        <w:t xml:space="preserve">that have a longer half-life but are only available in limited ordering schedule. In the comprehensive neurooncological centers, however, the individual rapid preparation of methionine tracer, the most studied substance in brain tumors, is </w:t>
      </w:r>
      <w:r w:rsidR="00B64993" w:rsidRPr="00032AD9">
        <w:rPr>
          <w:sz w:val="22"/>
          <w:szCs w:val="22"/>
          <w:lang w:val="en-US" w:eastAsia="en-US"/>
        </w:rPr>
        <w:t>the</w:t>
      </w:r>
      <w:r w:rsidR="0031591B" w:rsidRPr="00032AD9">
        <w:rPr>
          <w:sz w:val="22"/>
          <w:szCs w:val="22"/>
          <w:lang w:val="en-US" w:eastAsia="en-US"/>
        </w:rPr>
        <w:t xml:space="preserve"> unique option</w:t>
      </w:r>
      <w:r w:rsidR="0010567F" w:rsidRPr="00032AD9">
        <w:rPr>
          <w:sz w:val="22"/>
          <w:szCs w:val="22"/>
          <w:lang w:val="en-US" w:eastAsia="en-US"/>
        </w:rPr>
        <w:t xml:space="preserve"> how to improve outcomes of patients with REP, particularly aggressive GB.</w:t>
      </w:r>
    </w:p>
    <w:p w14:paraId="3C5A2891" w14:textId="77777777" w:rsidR="005A4592" w:rsidRPr="00032AD9" w:rsidRDefault="005A4592" w:rsidP="00B55C3A">
      <w:pPr>
        <w:ind w:firstLine="709"/>
        <w:jc w:val="both"/>
        <w:rPr>
          <w:b/>
          <w:sz w:val="22"/>
          <w:szCs w:val="22"/>
          <w:lang w:val="en-US"/>
        </w:rPr>
      </w:pPr>
    </w:p>
    <w:p w14:paraId="69D32667" w14:textId="77777777" w:rsidR="00D41B6E" w:rsidRPr="00032AD9" w:rsidRDefault="00D41B6E" w:rsidP="00B55C3A">
      <w:pPr>
        <w:ind w:firstLine="709"/>
        <w:jc w:val="both"/>
        <w:rPr>
          <w:sz w:val="22"/>
          <w:szCs w:val="22"/>
          <w:lang w:val="en-US"/>
        </w:rPr>
      </w:pPr>
      <w:r w:rsidRPr="00032AD9">
        <w:rPr>
          <w:b/>
          <w:sz w:val="22"/>
          <w:szCs w:val="22"/>
          <w:lang w:val="en-US"/>
        </w:rPr>
        <w:t>Preliminary data</w:t>
      </w:r>
    </w:p>
    <w:p w14:paraId="6475348D" w14:textId="77777777" w:rsidR="00790E5B" w:rsidRPr="00032AD9" w:rsidRDefault="00CA729A" w:rsidP="00B55C3A">
      <w:pPr>
        <w:ind w:firstLine="709"/>
        <w:jc w:val="both"/>
        <w:rPr>
          <w:sz w:val="22"/>
          <w:szCs w:val="22"/>
          <w:lang w:val="en-US"/>
        </w:rPr>
      </w:pPr>
      <w:r w:rsidRPr="00032AD9">
        <w:rPr>
          <w:sz w:val="22"/>
          <w:szCs w:val="22"/>
          <w:lang w:val="en-US"/>
        </w:rPr>
        <w:t xml:space="preserve">This </w:t>
      </w:r>
      <w:r w:rsidR="00630E43" w:rsidRPr="00032AD9">
        <w:rPr>
          <w:sz w:val="22"/>
          <w:szCs w:val="22"/>
          <w:lang w:val="en-US"/>
        </w:rPr>
        <w:t xml:space="preserve">project </w:t>
      </w:r>
      <w:r w:rsidRPr="00032AD9">
        <w:rPr>
          <w:sz w:val="22"/>
          <w:szCs w:val="22"/>
          <w:lang w:val="en-US"/>
        </w:rPr>
        <w:t xml:space="preserve">proposal follows from our previous </w:t>
      </w:r>
      <w:r w:rsidR="00790E5B" w:rsidRPr="00032AD9">
        <w:rPr>
          <w:sz w:val="22"/>
          <w:szCs w:val="22"/>
          <w:lang w:val="en-US"/>
        </w:rPr>
        <w:t xml:space="preserve">retrospective analysis of 144 </w:t>
      </w:r>
      <w:r w:rsidR="005F56AF" w:rsidRPr="00032AD9">
        <w:rPr>
          <w:sz w:val="22"/>
          <w:szCs w:val="22"/>
          <w:lang w:val="en-US"/>
        </w:rPr>
        <w:t>glioblastoma (</w:t>
      </w:r>
      <w:r w:rsidR="00790E5B" w:rsidRPr="00032AD9">
        <w:rPr>
          <w:sz w:val="22"/>
          <w:szCs w:val="22"/>
          <w:lang w:val="en-US"/>
        </w:rPr>
        <w:t>GB</w:t>
      </w:r>
      <w:r w:rsidR="005F56AF" w:rsidRPr="00032AD9">
        <w:rPr>
          <w:sz w:val="22"/>
          <w:szCs w:val="22"/>
          <w:lang w:val="en-US"/>
        </w:rPr>
        <w:t>)</w:t>
      </w:r>
      <w:r w:rsidR="00790E5B" w:rsidRPr="00032AD9">
        <w:rPr>
          <w:sz w:val="22"/>
          <w:szCs w:val="22"/>
          <w:lang w:val="en-US"/>
        </w:rPr>
        <w:t xml:space="preserve"> patients treated in our institution from 2014 to 2017. 47 patients (30.5%) were treated according to Stupp regimen. Median overall survival was significantly better in patients treated according to Stupp regimen (23.3 vs. 8.6 months, p&lt;0.001) proving high standard</w:t>
      </w:r>
      <w:r w:rsidR="00630E43" w:rsidRPr="00032AD9">
        <w:rPr>
          <w:sz w:val="22"/>
          <w:szCs w:val="22"/>
          <w:lang w:val="en-US"/>
        </w:rPr>
        <w:t xml:space="preserve"> of</w:t>
      </w:r>
      <w:r w:rsidR="00790E5B" w:rsidRPr="00032AD9">
        <w:rPr>
          <w:sz w:val="22"/>
          <w:szCs w:val="22"/>
          <w:lang w:val="en-US"/>
        </w:rPr>
        <w:t xml:space="preserve"> treatment procedures in our institution resulting in comparable survival outcomes to other </w:t>
      </w:r>
      <w:r w:rsidR="00630E43" w:rsidRPr="00032AD9">
        <w:rPr>
          <w:sz w:val="22"/>
          <w:szCs w:val="22"/>
          <w:lang w:val="en-US"/>
        </w:rPr>
        <w:t xml:space="preserve">currently </w:t>
      </w:r>
      <w:r w:rsidR="00790E5B" w:rsidRPr="00032AD9">
        <w:rPr>
          <w:sz w:val="22"/>
          <w:szCs w:val="22"/>
          <w:lang w:val="en-US"/>
        </w:rPr>
        <w:t>published series</w:t>
      </w:r>
      <w:r w:rsidR="00F61FC9" w:rsidRPr="00032AD9">
        <w:rPr>
          <w:sz w:val="22"/>
          <w:szCs w:val="22"/>
          <w:lang w:val="en-US"/>
        </w:rPr>
        <w:t xml:space="preserve"> </w:t>
      </w:r>
      <w:r w:rsidR="00B125D3" w:rsidRPr="00032AD9">
        <w:rPr>
          <w:sz w:val="22"/>
          <w:szCs w:val="22"/>
          <w:lang w:val="en-US"/>
        </w:rPr>
        <w:t>[5]. R</w:t>
      </w:r>
      <w:r w:rsidR="00790E5B" w:rsidRPr="00032AD9">
        <w:rPr>
          <w:sz w:val="22"/>
          <w:szCs w:val="22"/>
          <w:lang w:val="en-US"/>
        </w:rPr>
        <w:t xml:space="preserve">apid early </w:t>
      </w:r>
      <w:r w:rsidR="00790E5B" w:rsidRPr="00032AD9">
        <w:rPr>
          <w:sz w:val="22"/>
          <w:szCs w:val="22"/>
          <w:lang w:val="en-US"/>
        </w:rPr>
        <w:lastRenderedPageBreak/>
        <w:t xml:space="preserve">progression </w:t>
      </w:r>
      <w:r w:rsidR="005F56AF" w:rsidRPr="00032AD9">
        <w:rPr>
          <w:sz w:val="22"/>
          <w:szCs w:val="22"/>
          <w:lang w:val="en-US"/>
        </w:rPr>
        <w:t xml:space="preserve">(REP) </w:t>
      </w:r>
      <w:r w:rsidR="00790E5B" w:rsidRPr="00032AD9">
        <w:rPr>
          <w:sz w:val="22"/>
          <w:szCs w:val="22"/>
          <w:lang w:val="en-US"/>
        </w:rPr>
        <w:t>was presented in 52% of 95 evaluable patients who underwent both post-surgery and pre-radiotherapy MR</w:t>
      </w:r>
      <w:r w:rsidR="00263304" w:rsidRPr="00032AD9">
        <w:rPr>
          <w:sz w:val="22"/>
          <w:szCs w:val="22"/>
          <w:lang w:val="en-US"/>
        </w:rPr>
        <w:t>I</w:t>
      </w:r>
      <w:r w:rsidR="00790E5B" w:rsidRPr="00032AD9">
        <w:rPr>
          <w:sz w:val="22"/>
          <w:szCs w:val="22"/>
          <w:lang w:val="en-US"/>
        </w:rPr>
        <w:t xml:space="preserve"> scans</w:t>
      </w:r>
      <w:r w:rsidR="009B6507" w:rsidRPr="00032AD9">
        <w:rPr>
          <w:sz w:val="22"/>
          <w:szCs w:val="22"/>
          <w:lang w:val="en-US"/>
        </w:rPr>
        <w:t xml:space="preserve">. Their median overall survival </w:t>
      </w:r>
      <w:r w:rsidR="005F56AF" w:rsidRPr="00032AD9">
        <w:rPr>
          <w:sz w:val="22"/>
          <w:szCs w:val="22"/>
          <w:lang w:val="en-US"/>
        </w:rPr>
        <w:t xml:space="preserve">(OS) </w:t>
      </w:r>
      <w:r w:rsidR="009B6507" w:rsidRPr="00032AD9">
        <w:rPr>
          <w:sz w:val="22"/>
          <w:szCs w:val="22"/>
          <w:lang w:val="en-US"/>
        </w:rPr>
        <w:t>was significantly worse (10.2 vs.18.5  months, p=0.001)</w:t>
      </w:r>
      <w:r w:rsidR="00AF51AC" w:rsidRPr="00032AD9">
        <w:rPr>
          <w:sz w:val="22"/>
          <w:szCs w:val="22"/>
          <w:lang w:val="en-US"/>
        </w:rPr>
        <w:t xml:space="preserve">. These results are within confident intervals reported by Palmer et al (11.5 months /95% CI: 7.4-17.6/) vs. 20.1 months /95% CI: 17.8- 26.1/, </w:t>
      </w:r>
      <w:r w:rsidR="005F56AF" w:rsidRPr="00032AD9">
        <w:rPr>
          <w:sz w:val="22"/>
          <w:szCs w:val="22"/>
          <w:lang w:val="en-US"/>
        </w:rPr>
        <w:t>p</w:t>
      </w:r>
      <w:r w:rsidR="00AF51AC" w:rsidRPr="00032AD9">
        <w:rPr>
          <w:sz w:val="22"/>
          <w:szCs w:val="22"/>
          <w:lang w:val="en-US"/>
        </w:rPr>
        <w:t>=0.013)</w:t>
      </w:r>
      <w:r w:rsidR="00F61FC9" w:rsidRPr="00032AD9">
        <w:rPr>
          <w:sz w:val="22"/>
          <w:szCs w:val="22"/>
          <w:lang w:val="en-US"/>
        </w:rPr>
        <w:t xml:space="preserve"> </w:t>
      </w:r>
      <w:r w:rsidR="00B125D3" w:rsidRPr="00032AD9">
        <w:rPr>
          <w:sz w:val="22"/>
          <w:szCs w:val="22"/>
          <w:lang w:val="en-US"/>
        </w:rPr>
        <w:t xml:space="preserve">[10]. </w:t>
      </w:r>
      <w:r w:rsidR="009D03D5" w:rsidRPr="00032AD9">
        <w:rPr>
          <w:sz w:val="22"/>
          <w:szCs w:val="22"/>
          <w:lang w:val="en-US"/>
        </w:rPr>
        <w:t xml:space="preserve">We did not </w:t>
      </w:r>
      <w:r w:rsidR="001E2424" w:rsidRPr="00032AD9">
        <w:rPr>
          <w:sz w:val="22"/>
          <w:szCs w:val="22"/>
          <w:lang w:val="en-US"/>
        </w:rPr>
        <w:t>observe</w:t>
      </w:r>
      <w:r w:rsidR="009D03D5" w:rsidRPr="00032AD9">
        <w:rPr>
          <w:sz w:val="22"/>
          <w:szCs w:val="22"/>
          <w:lang w:val="en-US"/>
        </w:rPr>
        <w:t xml:space="preserve"> any significant impact of waiting time to start of </w:t>
      </w:r>
      <w:r w:rsidR="00864D2A" w:rsidRPr="00032AD9">
        <w:rPr>
          <w:sz w:val="22"/>
          <w:szCs w:val="22"/>
          <w:lang w:val="en-US"/>
        </w:rPr>
        <w:t>RT</w:t>
      </w:r>
      <w:r w:rsidR="000F6120" w:rsidRPr="00032AD9">
        <w:rPr>
          <w:sz w:val="22"/>
          <w:szCs w:val="22"/>
          <w:lang w:val="en-US"/>
        </w:rPr>
        <w:t xml:space="preserve">. </w:t>
      </w:r>
      <w:r w:rsidR="001E2424" w:rsidRPr="00032AD9">
        <w:rPr>
          <w:sz w:val="22"/>
          <w:szCs w:val="22"/>
          <w:lang w:val="en-US"/>
        </w:rPr>
        <w:t xml:space="preserve">Patients developing REP had significantly worse progression free survival (progression after </w:t>
      </w:r>
      <w:r w:rsidR="00864D2A" w:rsidRPr="00032AD9">
        <w:rPr>
          <w:sz w:val="22"/>
          <w:szCs w:val="22"/>
          <w:lang w:val="en-US"/>
        </w:rPr>
        <w:t>RT</w:t>
      </w:r>
      <w:r w:rsidR="007E599B" w:rsidRPr="00032AD9">
        <w:rPr>
          <w:sz w:val="22"/>
          <w:szCs w:val="22"/>
          <w:lang w:val="en-US"/>
        </w:rPr>
        <w:t>, calculating from the beginning of chemo/radiotherapy</w:t>
      </w:r>
      <w:r w:rsidR="001E2424" w:rsidRPr="00032AD9">
        <w:rPr>
          <w:sz w:val="22"/>
          <w:szCs w:val="22"/>
          <w:lang w:val="en-US"/>
        </w:rPr>
        <w:t>) as well (3.6 vs. 9.3 months, p=0.034). Presented own retrospective survival outcomes data will serve as a comparator in presented project.</w:t>
      </w:r>
    </w:p>
    <w:p w14:paraId="39B944F2" w14:textId="77777777" w:rsidR="00373F64" w:rsidRPr="00032AD9" w:rsidRDefault="00373F64" w:rsidP="00B55C3A">
      <w:pPr>
        <w:ind w:firstLine="709"/>
        <w:jc w:val="both"/>
        <w:rPr>
          <w:b/>
          <w:sz w:val="22"/>
          <w:szCs w:val="22"/>
          <w:lang w:val="en-US"/>
        </w:rPr>
      </w:pPr>
    </w:p>
    <w:p w14:paraId="1396BF2D" w14:textId="77777777" w:rsidR="00E852FE" w:rsidRPr="00032AD9" w:rsidRDefault="00E852FE" w:rsidP="00E852FE">
      <w:pPr>
        <w:ind w:firstLine="709"/>
        <w:jc w:val="both"/>
        <w:rPr>
          <w:sz w:val="22"/>
          <w:szCs w:val="22"/>
          <w:lang w:val="en-US"/>
        </w:rPr>
      </w:pPr>
      <w:r w:rsidRPr="00032AD9">
        <w:rPr>
          <w:b/>
          <w:sz w:val="22"/>
          <w:szCs w:val="22"/>
          <w:lang w:val="en-US"/>
        </w:rPr>
        <w:t>Hypothesis</w:t>
      </w:r>
    </w:p>
    <w:p w14:paraId="1930CADC" w14:textId="0E86509F" w:rsidR="00E852FE" w:rsidRPr="00032AD9" w:rsidRDefault="00E852FE" w:rsidP="00E852FE">
      <w:pPr>
        <w:ind w:firstLine="709"/>
        <w:jc w:val="both"/>
        <w:rPr>
          <w:sz w:val="22"/>
          <w:szCs w:val="22"/>
          <w:lang w:val="en-US"/>
        </w:rPr>
      </w:pPr>
      <w:r w:rsidRPr="00032AD9">
        <w:rPr>
          <w:sz w:val="22"/>
          <w:szCs w:val="22"/>
          <w:lang w:val="en-US"/>
        </w:rPr>
        <w:t xml:space="preserve">GB patients developing </w:t>
      </w:r>
      <w:r w:rsidR="00F2101C" w:rsidRPr="00032AD9">
        <w:rPr>
          <w:sz w:val="22"/>
          <w:szCs w:val="22"/>
          <w:lang w:val="en-US"/>
        </w:rPr>
        <w:t xml:space="preserve">REP </w:t>
      </w:r>
      <w:r w:rsidRPr="00032AD9">
        <w:rPr>
          <w:sz w:val="22"/>
          <w:szCs w:val="22"/>
          <w:lang w:val="en-US"/>
        </w:rPr>
        <w:t xml:space="preserve">before start of adjuvant </w:t>
      </w:r>
      <w:r w:rsidR="00864D2A" w:rsidRPr="00032AD9">
        <w:rPr>
          <w:sz w:val="22"/>
          <w:szCs w:val="22"/>
          <w:lang w:val="en-US"/>
        </w:rPr>
        <w:t>RT</w:t>
      </w:r>
      <w:r w:rsidRPr="00032AD9">
        <w:rPr>
          <w:sz w:val="22"/>
          <w:szCs w:val="22"/>
          <w:lang w:val="en-US"/>
        </w:rPr>
        <w:t xml:space="preserve"> have dismal prognosis even in relation to generally poor outcomes of GB patients. Nevertheless, they were considered perspective patients since they underwent radical neurosurgery and headed to aggressive oncology treatment with the hope of longer lasting survival. The optimal treatment of these patients with REP is unknown, no previous prospective trial was performed in this specific cohort of early progressing patients. We hypothesize that new enhancing lesion on MRI or progressing residual disease after subtotal surgery is not the only one region of early progression and when </w:t>
      </w:r>
      <w:r w:rsidR="00864D2A" w:rsidRPr="00032AD9">
        <w:rPr>
          <w:sz w:val="22"/>
          <w:szCs w:val="22"/>
          <w:lang w:val="en-US"/>
        </w:rPr>
        <w:t>RT</w:t>
      </w:r>
      <w:r w:rsidRPr="00032AD9">
        <w:rPr>
          <w:sz w:val="22"/>
          <w:szCs w:val="22"/>
          <w:lang w:val="en-US"/>
        </w:rPr>
        <w:t xml:space="preserve"> is aimed solely by the enhancing MR</w:t>
      </w:r>
      <w:r w:rsidR="00263304" w:rsidRPr="00032AD9">
        <w:rPr>
          <w:sz w:val="22"/>
          <w:szCs w:val="22"/>
          <w:lang w:val="en-US"/>
        </w:rPr>
        <w:t>I</w:t>
      </w:r>
      <w:r w:rsidRPr="00032AD9">
        <w:rPr>
          <w:sz w:val="22"/>
          <w:szCs w:val="22"/>
          <w:lang w:val="en-US"/>
        </w:rPr>
        <w:t xml:space="preserve"> lesion, marginal miss may be reason of further rapid progression after </w:t>
      </w:r>
      <w:r w:rsidR="00864D2A" w:rsidRPr="00032AD9">
        <w:rPr>
          <w:sz w:val="22"/>
          <w:szCs w:val="22"/>
          <w:lang w:val="en-US"/>
        </w:rPr>
        <w:t>RT</w:t>
      </w:r>
      <w:r w:rsidRPr="00032AD9">
        <w:rPr>
          <w:sz w:val="22"/>
          <w:szCs w:val="22"/>
          <w:lang w:val="en-US"/>
        </w:rPr>
        <w:t xml:space="preserve"> (3.6 months PFS in our retrospective cohort). MET PET imaging reveal further regions of aggressive part of tumor and guiding </w:t>
      </w:r>
      <w:r w:rsidR="00864D2A" w:rsidRPr="00032AD9">
        <w:rPr>
          <w:sz w:val="22"/>
          <w:szCs w:val="22"/>
          <w:lang w:val="en-US"/>
        </w:rPr>
        <w:t>RT</w:t>
      </w:r>
      <w:r w:rsidRPr="00032AD9">
        <w:rPr>
          <w:sz w:val="22"/>
          <w:szCs w:val="22"/>
          <w:lang w:val="en-US"/>
        </w:rPr>
        <w:t xml:space="preserve"> not only by MR</w:t>
      </w:r>
      <w:r w:rsidR="00263304" w:rsidRPr="00032AD9">
        <w:rPr>
          <w:sz w:val="22"/>
          <w:szCs w:val="22"/>
          <w:lang w:val="en-US"/>
        </w:rPr>
        <w:t>I</w:t>
      </w:r>
      <w:r w:rsidRPr="00032AD9">
        <w:rPr>
          <w:sz w:val="22"/>
          <w:szCs w:val="22"/>
          <w:lang w:val="en-US"/>
        </w:rPr>
        <w:t xml:space="preserve"> enhancing lesion but also by PET scan may significantly improve outcomes of these patients.      </w:t>
      </w:r>
    </w:p>
    <w:p w14:paraId="7FE32585" w14:textId="77777777" w:rsidR="00E852FE" w:rsidRPr="00032AD9" w:rsidRDefault="00E852FE" w:rsidP="00E852FE">
      <w:pPr>
        <w:ind w:firstLine="709"/>
        <w:jc w:val="both"/>
        <w:rPr>
          <w:sz w:val="22"/>
          <w:szCs w:val="22"/>
          <w:lang w:val="en-US"/>
        </w:rPr>
      </w:pPr>
    </w:p>
    <w:p w14:paraId="48236A15" w14:textId="77777777" w:rsidR="00E852FE" w:rsidRPr="00032AD9" w:rsidRDefault="00E852FE" w:rsidP="00E852FE">
      <w:pPr>
        <w:ind w:firstLine="709"/>
        <w:jc w:val="both"/>
        <w:rPr>
          <w:sz w:val="22"/>
          <w:szCs w:val="22"/>
          <w:lang w:val="en-US"/>
        </w:rPr>
      </w:pPr>
    </w:p>
    <w:p w14:paraId="11A990C2" w14:textId="77777777" w:rsidR="00E852FE" w:rsidRPr="00032AD9" w:rsidRDefault="00E852FE" w:rsidP="00E852FE">
      <w:pPr>
        <w:ind w:firstLine="709"/>
        <w:jc w:val="both"/>
        <w:rPr>
          <w:b/>
          <w:sz w:val="22"/>
          <w:szCs w:val="22"/>
          <w:lang w:val="en-US"/>
        </w:rPr>
      </w:pPr>
      <w:r w:rsidRPr="00032AD9">
        <w:rPr>
          <w:b/>
          <w:sz w:val="22"/>
          <w:szCs w:val="22"/>
          <w:lang w:val="en-US"/>
        </w:rPr>
        <w:t>Project objectives</w:t>
      </w:r>
    </w:p>
    <w:p w14:paraId="31230FE2" w14:textId="77777777" w:rsidR="00E852FE" w:rsidRPr="00032AD9" w:rsidRDefault="00E852FE" w:rsidP="00E852FE">
      <w:pPr>
        <w:ind w:firstLine="709"/>
        <w:jc w:val="both"/>
        <w:rPr>
          <w:sz w:val="22"/>
          <w:szCs w:val="22"/>
          <w:lang w:val="en-US" w:eastAsia="en-US"/>
        </w:rPr>
      </w:pPr>
      <w:r w:rsidRPr="00032AD9">
        <w:rPr>
          <w:sz w:val="22"/>
          <w:szCs w:val="22"/>
          <w:lang w:val="en-US" w:eastAsia="en-US"/>
        </w:rPr>
        <w:t>1) Prospective assessment of the incidence of REP on planning MR</w:t>
      </w:r>
      <w:r w:rsidR="00263304" w:rsidRPr="00032AD9">
        <w:rPr>
          <w:sz w:val="22"/>
          <w:szCs w:val="22"/>
          <w:lang w:val="en-US" w:eastAsia="en-US"/>
        </w:rPr>
        <w:t>I</w:t>
      </w:r>
      <w:r w:rsidRPr="00032AD9">
        <w:rPr>
          <w:sz w:val="22"/>
          <w:szCs w:val="22"/>
          <w:lang w:val="en-US" w:eastAsia="en-US"/>
        </w:rPr>
        <w:t xml:space="preserve"> (MR</w:t>
      </w:r>
      <w:r w:rsidR="00263304" w:rsidRPr="00032AD9">
        <w:rPr>
          <w:sz w:val="22"/>
          <w:szCs w:val="22"/>
          <w:lang w:val="en-US" w:eastAsia="en-US"/>
        </w:rPr>
        <w:t>I</w:t>
      </w:r>
      <w:r w:rsidRPr="00032AD9">
        <w:rPr>
          <w:sz w:val="22"/>
          <w:szCs w:val="22"/>
          <w:lang w:val="en-US" w:eastAsia="en-US"/>
        </w:rPr>
        <w:t xml:space="preserve"> performed for planning purposes of </w:t>
      </w:r>
      <w:r w:rsidR="00864D2A" w:rsidRPr="00032AD9">
        <w:rPr>
          <w:sz w:val="22"/>
          <w:szCs w:val="22"/>
          <w:lang w:val="en-US" w:eastAsia="en-US"/>
        </w:rPr>
        <w:t>RT</w:t>
      </w:r>
      <w:r w:rsidRPr="00032AD9">
        <w:rPr>
          <w:sz w:val="22"/>
          <w:szCs w:val="22"/>
          <w:lang w:val="en-US" w:eastAsia="en-US"/>
        </w:rPr>
        <w:t xml:space="preserve">, usually done 1 week before the start of </w:t>
      </w:r>
      <w:r w:rsidR="00864D2A" w:rsidRPr="00032AD9">
        <w:rPr>
          <w:sz w:val="22"/>
          <w:szCs w:val="22"/>
          <w:lang w:val="en-US" w:eastAsia="en-US"/>
        </w:rPr>
        <w:t>RT</w:t>
      </w:r>
      <w:r w:rsidRPr="00032AD9">
        <w:rPr>
          <w:sz w:val="22"/>
          <w:szCs w:val="22"/>
          <w:lang w:val="en-US" w:eastAsia="en-US"/>
        </w:rPr>
        <w:t>); comparison of early postoperative and planning MR</w:t>
      </w:r>
      <w:r w:rsidR="00263304" w:rsidRPr="00032AD9">
        <w:rPr>
          <w:sz w:val="22"/>
          <w:szCs w:val="22"/>
          <w:lang w:val="en-US" w:eastAsia="en-US"/>
        </w:rPr>
        <w:t>I</w:t>
      </w:r>
      <w:r w:rsidRPr="00032AD9">
        <w:rPr>
          <w:sz w:val="22"/>
          <w:szCs w:val="22"/>
          <w:lang w:val="en-US" w:eastAsia="en-US"/>
        </w:rPr>
        <w:t xml:space="preserve"> exams</w:t>
      </w:r>
    </w:p>
    <w:p w14:paraId="29252DCA" w14:textId="77777777" w:rsidR="00E852FE" w:rsidRPr="00032AD9" w:rsidRDefault="00E852FE" w:rsidP="00E852FE">
      <w:pPr>
        <w:ind w:firstLine="709"/>
        <w:jc w:val="both"/>
        <w:rPr>
          <w:sz w:val="22"/>
          <w:szCs w:val="22"/>
          <w:lang w:val="en-US" w:eastAsia="en-US"/>
        </w:rPr>
      </w:pPr>
      <w:r w:rsidRPr="00032AD9">
        <w:rPr>
          <w:sz w:val="22"/>
          <w:szCs w:val="22"/>
          <w:lang w:val="en-US" w:eastAsia="en-US"/>
        </w:rPr>
        <w:t>2) For REP group (Aim 1) examination of the potential of MET PET to reveal further regions of aggressive disease apart from enhancing lesions on T1 weighted MR</w:t>
      </w:r>
      <w:r w:rsidR="00263304" w:rsidRPr="00032AD9">
        <w:rPr>
          <w:sz w:val="22"/>
          <w:szCs w:val="22"/>
          <w:lang w:val="en-US" w:eastAsia="en-US"/>
        </w:rPr>
        <w:t>I</w:t>
      </w:r>
      <w:r w:rsidRPr="00032AD9">
        <w:rPr>
          <w:sz w:val="22"/>
          <w:szCs w:val="22"/>
          <w:lang w:val="en-US" w:eastAsia="en-US"/>
        </w:rPr>
        <w:t xml:space="preserve"> scan and to confirm early progression (differential diagnosis to postsurgery changes).</w:t>
      </w:r>
    </w:p>
    <w:p w14:paraId="125A6C50" w14:textId="77777777" w:rsidR="00E852FE" w:rsidRPr="00032AD9" w:rsidRDefault="00E852FE" w:rsidP="00E852FE">
      <w:pPr>
        <w:ind w:firstLine="709"/>
        <w:jc w:val="both"/>
        <w:rPr>
          <w:sz w:val="22"/>
          <w:szCs w:val="22"/>
          <w:lang w:val="en-US" w:eastAsia="en-US"/>
        </w:rPr>
      </w:pPr>
      <w:r w:rsidRPr="00032AD9">
        <w:rPr>
          <w:sz w:val="22"/>
          <w:szCs w:val="22"/>
          <w:lang w:val="en-US" w:eastAsia="en-US"/>
        </w:rPr>
        <w:t xml:space="preserve">3) Ability of MET PET to optimize definition of target volumes for adjuvant </w:t>
      </w:r>
      <w:r w:rsidR="00864D2A" w:rsidRPr="00032AD9">
        <w:rPr>
          <w:sz w:val="22"/>
          <w:szCs w:val="22"/>
          <w:lang w:val="en-US" w:eastAsia="en-US"/>
        </w:rPr>
        <w:t>RT</w:t>
      </w:r>
      <w:r w:rsidRPr="00032AD9">
        <w:rPr>
          <w:sz w:val="22"/>
          <w:szCs w:val="22"/>
          <w:lang w:val="en-US" w:eastAsia="en-US"/>
        </w:rPr>
        <w:t xml:space="preserve"> (Boolean operators; PET - T/N ration ≥1.3 and MR</w:t>
      </w:r>
      <w:r w:rsidR="00263304" w:rsidRPr="00032AD9">
        <w:rPr>
          <w:sz w:val="22"/>
          <w:szCs w:val="22"/>
          <w:lang w:val="en-US" w:eastAsia="en-US"/>
        </w:rPr>
        <w:t>I</w:t>
      </w:r>
      <w:r w:rsidRPr="00032AD9">
        <w:rPr>
          <w:sz w:val="22"/>
          <w:szCs w:val="22"/>
          <w:lang w:val="en-US" w:eastAsia="en-US"/>
        </w:rPr>
        <w:t xml:space="preserve"> high risk regions)</w:t>
      </w:r>
    </w:p>
    <w:p w14:paraId="31F9E8F1" w14:textId="7FF47ADE" w:rsidR="00E852FE" w:rsidRPr="00032AD9" w:rsidRDefault="00E852FE" w:rsidP="00E852FE">
      <w:pPr>
        <w:ind w:firstLine="709"/>
        <w:jc w:val="both"/>
        <w:rPr>
          <w:sz w:val="22"/>
          <w:szCs w:val="22"/>
          <w:lang w:val="en-US" w:eastAsia="en-US"/>
        </w:rPr>
      </w:pPr>
      <w:r w:rsidRPr="00032AD9">
        <w:rPr>
          <w:sz w:val="22"/>
          <w:szCs w:val="22"/>
          <w:lang w:val="en-US" w:eastAsia="en-US"/>
        </w:rPr>
        <w:t xml:space="preserve">4) Evaluation of the effect of </w:t>
      </w:r>
      <w:r w:rsidR="00864D2A" w:rsidRPr="00032AD9">
        <w:rPr>
          <w:sz w:val="22"/>
          <w:szCs w:val="22"/>
          <w:lang w:val="en-US" w:eastAsia="en-US"/>
        </w:rPr>
        <w:t>RT</w:t>
      </w:r>
      <w:r w:rsidRPr="00032AD9">
        <w:rPr>
          <w:sz w:val="22"/>
          <w:szCs w:val="22"/>
          <w:lang w:val="en-US" w:eastAsia="en-US"/>
        </w:rPr>
        <w:t xml:space="preserve"> optimization on early recurrence in terms of PFS (primary outcome used in power analysis) and OS versus our own historical retrospective cohort (2014-2017)</w:t>
      </w:r>
    </w:p>
    <w:p w14:paraId="5B6A4203" w14:textId="77777777" w:rsidR="00E852FE" w:rsidRPr="00032AD9" w:rsidRDefault="00E852FE" w:rsidP="00E852FE">
      <w:pPr>
        <w:ind w:firstLine="709"/>
        <w:jc w:val="both"/>
        <w:rPr>
          <w:sz w:val="22"/>
          <w:szCs w:val="22"/>
          <w:lang w:val="en-US" w:eastAsia="en-US"/>
        </w:rPr>
      </w:pPr>
      <w:r w:rsidRPr="00032AD9">
        <w:rPr>
          <w:sz w:val="22"/>
          <w:szCs w:val="22"/>
          <w:lang w:val="en-US" w:eastAsia="en-US"/>
        </w:rPr>
        <w:t>5) Evaluation of spatial patterns of failure (central vs. in-field vs. marginal vs. distant) in MET PET cohort in comparison to retrospective REP cohort.</w:t>
      </w:r>
    </w:p>
    <w:p w14:paraId="16734C7A" w14:textId="77777777" w:rsidR="00E852FE" w:rsidRPr="00032AD9" w:rsidRDefault="00E852FE" w:rsidP="00E852FE">
      <w:pPr>
        <w:ind w:firstLine="709"/>
        <w:jc w:val="both"/>
        <w:rPr>
          <w:sz w:val="22"/>
          <w:szCs w:val="22"/>
          <w:lang w:val="en-US" w:eastAsia="en-US"/>
        </w:rPr>
      </w:pPr>
      <w:r w:rsidRPr="00032AD9">
        <w:rPr>
          <w:sz w:val="22"/>
          <w:szCs w:val="22"/>
          <w:lang w:val="en-US" w:eastAsia="en-US"/>
        </w:rPr>
        <w:t>6) Univariate and multivariate analysis of clinical factors (age, gender, extent of resection, KPS before RT, early recurrence, time to initiation of postoperative treatment, administration of concomitant chemo</w:t>
      </w:r>
      <w:r w:rsidR="00864D2A" w:rsidRPr="00032AD9">
        <w:rPr>
          <w:sz w:val="22"/>
          <w:szCs w:val="22"/>
          <w:lang w:val="en-US" w:eastAsia="en-US"/>
        </w:rPr>
        <w:t>RT</w:t>
      </w:r>
      <w:r w:rsidRPr="00032AD9">
        <w:rPr>
          <w:sz w:val="22"/>
          <w:szCs w:val="22"/>
          <w:lang w:val="en-US" w:eastAsia="en-US"/>
        </w:rPr>
        <w:t xml:space="preserve"> and adjuvant chemotherapy) and laboratory biomarkers (MGMT, IDH, ATRX, TERT, Ki-67, PD-L1) on PFS and OS in a whole group of 120 prospectively enrolled patients with GB.</w:t>
      </w:r>
    </w:p>
    <w:p w14:paraId="6049A090" w14:textId="63A468F4" w:rsidR="00E852FE" w:rsidRPr="00032AD9" w:rsidRDefault="00E852FE" w:rsidP="00E852FE">
      <w:pPr>
        <w:ind w:firstLine="709"/>
        <w:jc w:val="both"/>
        <w:rPr>
          <w:b/>
          <w:sz w:val="22"/>
          <w:szCs w:val="22"/>
          <w:lang w:val="en-US"/>
        </w:rPr>
      </w:pPr>
      <w:r w:rsidRPr="00032AD9">
        <w:rPr>
          <w:sz w:val="22"/>
          <w:szCs w:val="22"/>
          <w:lang w:val="en-US" w:eastAsia="en-US"/>
        </w:rPr>
        <w:t>7) Identification of basic clinical and laboratory biomarkers</w:t>
      </w:r>
      <w:r w:rsidR="00712065" w:rsidRPr="00032AD9">
        <w:rPr>
          <w:sz w:val="22"/>
          <w:szCs w:val="22"/>
          <w:lang w:val="en-US" w:eastAsia="en-US"/>
        </w:rPr>
        <w:t xml:space="preserve"> (Aim 6)</w:t>
      </w:r>
      <w:r w:rsidRPr="00032AD9">
        <w:rPr>
          <w:sz w:val="22"/>
          <w:szCs w:val="22"/>
          <w:lang w:val="en-US" w:eastAsia="en-US"/>
        </w:rPr>
        <w:t xml:space="preserve"> of </w:t>
      </w:r>
      <w:r w:rsidR="00712065" w:rsidRPr="00032AD9">
        <w:rPr>
          <w:sz w:val="22"/>
          <w:szCs w:val="22"/>
          <w:lang w:val="en-US" w:eastAsia="en-US"/>
        </w:rPr>
        <w:t xml:space="preserve">REP </w:t>
      </w:r>
      <w:r w:rsidRPr="00032AD9">
        <w:rPr>
          <w:sz w:val="22"/>
          <w:szCs w:val="22"/>
          <w:lang w:val="en-US" w:eastAsia="en-US"/>
        </w:rPr>
        <w:t>applicable to clinical practice</w:t>
      </w:r>
    </w:p>
    <w:p w14:paraId="03A18FA7" w14:textId="77777777" w:rsidR="00373F64" w:rsidRPr="00032AD9" w:rsidRDefault="00373F64" w:rsidP="00B55C3A">
      <w:pPr>
        <w:ind w:firstLine="709"/>
        <w:jc w:val="both"/>
        <w:rPr>
          <w:b/>
          <w:sz w:val="22"/>
          <w:szCs w:val="22"/>
          <w:lang w:val="en-US"/>
        </w:rPr>
      </w:pPr>
    </w:p>
    <w:p w14:paraId="65393A4E" w14:textId="77777777" w:rsidR="00302253" w:rsidRPr="00032AD9" w:rsidRDefault="00302253" w:rsidP="00B55C3A">
      <w:pPr>
        <w:ind w:firstLine="709"/>
        <w:jc w:val="both"/>
        <w:rPr>
          <w:b/>
          <w:sz w:val="22"/>
          <w:szCs w:val="22"/>
          <w:lang w:val="en-US"/>
        </w:rPr>
      </w:pPr>
      <w:r w:rsidRPr="00032AD9">
        <w:rPr>
          <w:b/>
          <w:sz w:val="22"/>
          <w:szCs w:val="22"/>
          <w:lang w:val="en-US"/>
        </w:rPr>
        <w:t>Methods and approaches</w:t>
      </w:r>
    </w:p>
    <w:p w14:paraId="5F7EBE6A" w14:textId="1686B7DD" w:rsidR="00302BEC" w:rsidRPr="00032AD9" w:rsidRDefault="00302BEC" w:rsidP="00B55C3A">
      <w:pPr>
        <w:ind w:firstLine="709"/>
        <w:jc w:val="both"/>
        <w:rPr>
          <w:sz w:val="22"/>
          <w:szCs w:val="22"/>
          <w:lang w:val="en-US"/>
        </w:rPr>
      </w:pPr>
      <w:r w:rsidRPr="00032AD9">
        <w:rPr>
          <w:sz w:val="22"/>
          <w:szCs w:val="22"/>
          <w:lang w:val="en-US"/>
        </w:rPr>
        <w:t xml:space="preserve">A cohort of </w:t>
      </w:r>
      <w:r w:rsidR="00EE40CE" w:rsidRPr="00032AD9">
        <w:rPr>
          <w:sz w:val="22"/>
          <w:szCs w:val="22"/>
          <w:lang w:val="en-US"/>
        </w:rPr>
        <w:t>12</w:t>
      </w:r>
      <w:r w:rsidR="0098400A" w:rsidRPr="00032AD9">
        <w:rPr>
          <w:sz w:val="22"/>
          <w:szCs w:val="22"/>
          <w:lang w:val="en-US"/>
        </w:rPr>
        <w:t>0</w:t>
      </w:r>
      <w:r w:rsidRPr="00032AD9">
        <w:rPr>
          <w:sz w:val="22"/>
          <w:szCs w:val="22"/>
          <w:lang w:val="en-US"/>
        </w:rPr>
        <w:t xml:space="preserve"> patients with </w:t>
      </w:r>
      <w:r w:rsidR="00EE40CE" w:rsidRPr="00032AD9">
        <w:rPr>
          <w:sz w:val="22"/>
          <w:szCs w:val="22"/>
          <w:lang w:val="en-US"/>
        </w:rPr>
        <w:t xml:space="preserve">histologically proven </w:t>
      </w:r>
      <w:r w:rsidR="00E735EE" w:rsidRPr="00032AD9">
        <w:rPr>
          <w:sz w:val="22"/>
          <w:szCs w:val="22"/>
          <w:lang w:val="en-US"/>
        </w:rPr>
        <w:t xml:space="preserve">newly diagnosed </w:t>
      </w:r>
      <w:r w:rsidR="005F56AF" w:rsidRPr="00032AD9">
        <w:rPr>
          <w:sz w:val="22"/>
          <w:szCs w:val="22"/>
          <w:lang w:val="en-US"/>
        </w:rPr>
        <w:t>GB</w:t>
      </w:r>
      <w:r w:rsidR="00EE40CE" w:rsidRPr="00032AD9">
        <w:rPr>
          <w:sz w:val="22"/>
          <w:szCs w:val="22"/>
          <w:lang w:val="en-US"/>
        </w:rPr>
        <w:t xml:space="preserve"> </w:t>
      </w:r>
      <w:r w:rsidR="00E735EE" w:rsidRPr="00032AD9">
        <w:rPr>
          <w:sz w:val="22"/>
          <w:szCs w:val="22"/>
          <w:lang w:val="en-US"/>
        </w:rPr>
        <w:t xml:space="preserve">(pathology part of co-applicants team) after surgery (neurosurgery part of co-applicants team) </w:t>
      </w:r>
      <w:r w:rsidR="00EE40CE" w:rsidRPr="00032AD9">
        <w:rPr>
          <w:sz w:val="22"/>
          <w:szCs w:val="22"/>
          <w:lang w:val="en-US"/>
        </w:rPr>
        <w:t>will be prospectively enrolled to the study at Masaryk Memorial Cancer Institute</w:t>
      </w:r>
      <w:r w:rsidR="00E735EE" w:rsidRPr="00032AD9">
        <w:rPr>
          <w:sz w:val="22"/>
          <w:szCs w:val="22"/>
          <w:lang w:val="en-US"/>
        </w:rPr>
        <w:t xml:space="preserve"> (</w:t>
      </w:r>
      <w:r w:rsidR="00507B69" w:rsidRPr="00032AD9">
        <w:rPr>
          <w:sz w:val="22"/>
          <w:szCs w:val="22"/>
          <w:lang w:val="en-US"/>
        </w:rPr>
        <w:t xml:space="preserve">MMCI, </w:t>
      </w:r>
      <w:r w:rsidR="00E735EE" w:rsidRPr="00032AD9">
        <w:rPr>
          <w:sz w:val="22"/>
          <w:szCs w:val="22"/>
          <w:lang w:val="en-US"/>
        </w:rPr>
        <w:t>principal investigator team)</w:t>
      </w:r>
      <w:r w:rsidR="00EE40CE" w:rsidRPr="00032AD9">
        <w:rPr>
          <w:sz w:val="22"/>
          <w:szCs w:val="22"/>
          <w:lang w:val="en-US"/>
        </w:rPr>
        <w:t>.</w:t>
      </w:r>
      <w:r w:rsidR="00E735EE" w:rsidRPr="00032AD9">
        <w:rPr>
          <w:sz w:val="22"/>
          <w:szCs w:val="22"/>
          <w:lang w:val="en-US"/>
        </w:rPr>
        <w:t xml:space="preserve"> </w:t>
      </w:r>
      <w:r w:rsidRPr="00032AD9">
        <w:rPr>
          <w:sz w:val="22"/>
          <w:szCs w:val="22"/>
          <w:lang w:val="en-US"/>
        </w:rPr>
        <w:t xml:space="preserve">Patients will be included into the study after signature of the Informed Consent. </w:t>
      </w:r>
    </w:p>
    <w:p w14:paraId="1C5BE0EC" w14:textId="21A16B1E" w:rsidR="00C850FA" w:rsidRPr="00032AD9" w:rsidRDefault="00302BEC" w:rsidP="00B55C3A">
      <w:pPr>
        <w:ind w:firstLine="709"/>
        <w:jc w:val="both"/>
        <w:rPr>
          <w:sz w:val="22"/>
          <w:szCs w:val="22"/>
          <w:lang w:val="en-US"/>
        </w:rPr>
      </w:pPr>
      <w:r w:rsidRPr="00032AD9">
        <w:rPr>
          <w:i/>
          <w:sz w:val="22"/>
          <w:szCs w:val="22"/>
          <w:lang w:val="en-US"/>
        </w:rPr>
        <w:t>Inclusion criteria</w:t>
      </w:r>
      <w:r w:rsidRPr="00032AD9">
        <w:rPr>
          <w:sz w:val="22"/>
          <w:szCs w:val="22"/>
          <w:lang w:val="en-US"/>
        </w:rPr>
        <w:t xml:space="preserve">: </w:t>
      </w:r>
      <w:r w:rsidR="00C850FA" w:rsidRPr="00032AD9">
        <w:rPr>
          <w:sz w:val="22"/>
          <w:szCs w:val="22"/>
          <w:lang w:val="en-US"/>
        </w:rPr>
        <w:t xml:space="preserve">Newly diagnosed glioblastoma (WHO 2016 classification), </w:t>
      </w:r>
      <w:r w:rsidRPr="00032AD9">
        <w:rPr>
          <w:sz w:val="22"/>
          <w:szCs w:val="22"/>
          <w:lang w:val="en-US"/>
        </w:rPr>
        <w:t>minimal age of 18 years,</w:t>
      </w:r>
      <w:r w:rsidR="00C850FA" w:rsidRPr="00032AD9">
        <w:rPr>
          <w:sz w:val="22"/>
          <w:szCs w:val="22"/>
          <w:lang w:val="en-US"/>
        </w:rPr>
        <w:t xml:space="preserve"> performance status according to ECOG (Eastern Cooperative Oncology Group) 0-2, healed surgical wound,</w:t>
      </w:r>
      <w:r w:rsidR="00C577FD" w:rsidRPr="00032AD9">
        <w:rPr>
          <w:sz w:val="22"/>
          <w:szCs w:val="22"/>
          <w:lang w:val="en-US"/>
        </w:rPr>
        <w:t xml:space="preserve"> postoperative MRI no more than 72 hours after surgery, </w:t>
      </w:r>
      <w:r w:rsidR="00C850FA" w:rsidRPr="00032AD9">
        <w:rPr>
          <w:sz w:val="22"/>
          <w:szCs w:val="22"/>
          <w:lang w:val="en-US"/>
        </w:rPr>
        <w:t xml:space="preserve">indication to </w:t>
      </w:r>
      <w:r w:rsidR="005F56AF" w:rsidRPr="00032AD9">
        <w:rPr>
          <w:sz w:val="22"/>
          <w:szCs w:val="22"/>
          <w:lang w:val="en-US"/>
        </w:rPr>
        <w:t xml:space="preserve">adjuvant </w:t>
      </w:r>
      <w:r w:rsidR="00C850FA" w:rsidRPr="00032AD9">
        <w:rPr>
          <w:sz w:val="22"/>
          <w:szCs w:val="22"/>
          <w:lang w:val="en-US"/>
        </w:rPr>
        <w:t>oncology treatment, signed informed consent form.</w:t>
      </w:r>
    </w:p>
    <w:p w14:paraId="0BD06D3E" w14:textId="77777777" w:rsidR="00C850FA" w:rsidRPr="00032AD9" w:rsidRDefault="00302BEC" w:rsidP="00B55C3A">
      <w:pPr>
        <w:ind w:firstLine="709"/>
        <w:jc w:val="both"/>
        <w:rPr>
          <w:sz w:val="22"/>
          <w:szCs w:val="22"/>
          <w:lang w:val="en-US"/>
        </w:rPr>
      </w:pPr>
      <w:r w:rsidRPr="00032AD9">
        <w:rPr>
          <w:i/>
          <w:sz w:val="22"/>
          <w:szCs w:val="22"/>
          <w:lang w:val="en-US"/>
        </w:rPr>
        <w:t>Exclusion criteria</w:t>
      </w:r>
      <w:r w:rsidRPr="00032AD9">
        <w:rPr>
          <w:sz w:val="22"/>
          <w:szCs w:val="22"/>
          <w:lang w:val="en-US"/>
        </w:rPr>
        <w:t xml:space="preserve">: prior brain surgery, prior brain </w:t>
      </w:r>
      <w:r w:rsidR="00864D2A" w:rsidRPr="00032AD9">
        <w:rPr>
          <w:sz w:val="22"/>
          <w:szCs w:val="22"/>
          <w:lang w:val="en-US"/>
        </w:rPr>
        <w:t>RT</w:t>
      </w:r>
      <w:r w:rsidRPr="00032AD9">
        <w:rPr>
          <w:sz w:val="22"/>
          <w:szCs w:val="22"/>
          <w:lang w:val="en-US"/>
        </w:rPr>
        <w:t xml:space="preserve">, history of solid cancer except </w:t>
      </w:r>
      <w:r w:rsidR="00BF7AF9" w:rsidRPr="00032AD9">
        <w:rPr>
          <w:sz w:val="22"/>
          <w:szCs w:val="22"/>
          <w:lang w:val="en-US"/>
        </w:rPr>
        <w:t>for</w:t>
      </w:r>
      <w:r w:rsidR="00D61714" w:rsidRPr="00032AD9">
        <w:rPr>
          <w:sz w:val="22"/>
          <w:szCs w:val="22"/>
          <w:lang w:val="en-US"/>
        </w:rPr>
        <w:t xml:space="preserve"> </w:t>
      </w:r>
      <w:r w:rsidRPr="00032AD9">
        <w:rPr>
          <w:sz w:val="22"/>
          <w:szCs w:val="22"/>
          <w:lang w:val="en-US"/>
        </w:rPr>
        <w:t>non</w:t>
      </w:r>
      <w:r w:rsidR="00D61714" w:rsidRPr="00032AD9">
        <w:rPr>
          <w:sz w:val="22"/>
          <w:szCs w:val="22"/>
          <w:lang w:val="en-US"/>
        </w:rPr>
        <w:t>-</w:t>
      </w:r>
      <w:r w:rsidRPr="00032AD9">
        <w:rPr>
          <w:sz w:val="22"/>
          <w:szCs w:val="22"/>
          <w:lang w:val="en-US"/>
        </w:rPr>
        <w:t xml:space="preserve">melanoma skin cancer, any systemic illness or unstable medical condition that might pose additional risk for </w:t>
      </w:r>
      <w:r w:rsidR="00BD430A" w:rsidRPr="00032AD9">
        <w:rPr>
          <w:sz w:val="22"/>
          <w:szCs w:val="22"/>
          <w:lang w:val="en-US"/>
        </w:rPr>
        <w:t xml:space="preserve">performance of </w:t>
      </w:r>
      <w:r w:rsidR="00C850FA" w:rsidRPr="00032AD9">
        <w:rPr>
          <w:sz w:val="22"/>
          <w:szCs w:val="22"/>
          <w:lang w:val="en-US"/>
        </w:rPr>
        <w:t>oncology treatment and imaging (MR</w:t>
      </w:r>
      <w:r w:rsidR="00263304" w:rsidRPr="00032AD9">
        <w:rPr>
          <w:sz w:val="22"/>
          <w:szCs w:val="22"/>
          <w:lang w:val="en-US"/>
        </w:rPr>
        <w:t>I</w:t>
      </w:r>
      <w:r w:rsidR="00C850FA" w:rsidRPr="00032AD9">
        <w:rPr>
          <w:sz w:val="22"/>
          <w:szCs w:val="22"/>
          <w:lang w:val="en-US"/>
        </w:rPr>
        <w:t>, MET PET)</w:t>
      </w:r>
      <w:r w:rsidR="00BD430A" w:rsidRPr="00032AD9">
        <w:rPr>
          <w:sz w:val="22"/>
          <w:szCs w:val="22"/>
          <w:lang w:val="en-US"/>
        </w:rPr>
        <w:t xml:space="preserve">, active drugs as well as alcohol addiction or any other factors that might be considered interfering with study requirements. </w:t>
      </w:r>
      <w:r w:rsidR="00C850FA" w:rsidRPr="00032AD9">
        <w:rPr>
          <w:sz w:val="22"/>
          <w:szCs w:val="22"/>
          <w:lang w:val="en-US"/>
        </w:rPr>
        <w:lastRenderedPageBreak/>
        <w:t xml:space="preserve">Known active infection (HIV, viral hepatitis A, B, C). </w:t>
      </w:r>
      <w:r w:rsidR="00BD430A" w:rsidRPr="00032AD9">
        <w:rPr>
          <w:sz w:val="22"/>
          <w:szCs w:val="22"/>
          <w:lang w:val="en-US"/>
        </w:rPr>
        <w:t>Exclusion criteria apply also to pregnant or breastfeeding patients, as well as patients unable or refusing to</w:t>
      </w:r>
      <w:r w:rsidR="00B467BA" w:rsidRPr="00032AD9">
        <w:rPr>
          <w:sz w:val="22"/>
          <w:szCs w:val="22"/>
          <w:lang w:val="en-US"/>
        </w:rPr>
        <w:t xml:space="preserve"> sign </w:t>
      </w:r>
      <w:r w:rsidR="005D7534" w:rsidRPr="00032AD9">
        <w:rPr>
          <w:sz w:val="22"/>
          <w:szCs w:val="22"/>
          <w:lang w:val="en-US"/>
        </w:rPr>
        <w:t xml:space="preserve">the </w:t>
      </w:r>
      <w:r w:rsidR="00B467BA" w:rsidRPr="00032AD9">
        <w:rPr>
          <w:sz w:val="22"/>
          <w:szCs w:val="22"/>
          <w:lang w:val="en-US"/>
        </w:rPr>
        <w:t>written informed consent.</w:t>
      </w:r>
      <w:r w:rsidR="00C850FA" w:rsidRPr="00032AD9">
        <w:rPr>
          <w:sz w:val="22"/>
          <w:szCs w:val="22"/>
          <w:lang w:val="en-US"/>
        </w:rPr>
        <w:t xml:space="preserve"> </w:t>
      </w:r>
      <w:r w:rsidR="00A03328" w:rsidRPr="00032AD9">
        <w:rPr>
          <w:sz w:val="22"/>
          <w:szCs w:val="22"/>
          <w:lang w:val="en-US"/>
        </w:rPr>
        <w:t>Patients without resection of glioblastoma (those with biopsy only) will be excluded from this study.</w:t>
      </w:r>
      <w:r w:rsidR="003D5B94" w:rsidRPr="00032AD9">
        <w:rPr>
          <w:sz w:val="22"/>
          <w:szCs w:val="22"/>
          <w:lang w:val="en-US"/>
        </w:rPr>
        <w:t xml:space="preserve"> Patients without indication to adjuvant </w:t>
      </w:r>
      <w:r w:rsidR="00864D2A" w:rsidRPr="00032AD9">
        <w:rPr>
          <w:sz w:val="22"/>
          <w:szCs w:val="22"/>
          <w:lang w:val="en-US"/>
        </w:rPr>
        <w:t>RT</w:t>
      </w:r>
      <w:r w:rsidR="003D5B94" w:rsidRPr="00032AD9">
        <w:rPr>
          <w:sz w:val="22"/>
          <w:szCs w:val="22"/>
          <w:lang w:val="en-US"/>
        </w:rPr>
        <w:t>.</w:t>
      </w:r>
      <w:r w:rsidR="008763D2" w:rsidRPr="00032AD9">
        <w:rPr>
          <w:sz w:val="22"/>
          <w:szCs w:val="22"/>
          <w:lang w:val="en-US"/>
        </w:rPr>
        <w:t xml:space="preserve"> Patients indicated to reoperation.</w:t>
      </w:r>
      <w:r w:rsidR="00A03328" w:rsidRPr="00032AD9">
        <w:rPr>
          <w:sz w:val="22"/>
          <w:szCs w:val="22"/>
          <w:lang w:val="en-US"/>
        </w:rPr>
        <w:t xml:space="preserve"> </w:t>
      </w:r>
      <w:r w:rsidR="00C850FA" w:rsidRPr="00032AD9">
        <w:rPr>
          <w:sz w:val="22"/>
          <w:szCs w:val="22"/>
          <w:lang w:val="en-US"/>
        </w:rPr>
        <w:t>Contraindication to radio/chemotherapy or MR</w:t>
      </w:r>
      <w:r w:rsidR="00263304" w:rsidRPr="00032AD9">
        <w:rPr>
          <w:sz w:val="22"/>
          <w:szCs w:val="22"/>
          <w:lang w:val="en-US"/>
        </w:rPr>
        <w:t>I</w:t>
      </w:r>
      <w:r w:rsidR="00C850FA" w:rsidRPr="00032AD9">
        <w:rPr>
          <w:sz w:val="22"/>
          <w:szCs w:val="22"/>
          <w:lang w:val="en-US"/>
        </w:rPr>
        <w:t>/MET PET imaging according to institutional standard operation procedures.</w:t>
      </w:r>
    </w:p>
    <w:p w14:paraId="55FB9D24" w14:textId="4494FDC8" w:rsidR="00345553" w:rsidRPr="00032AD9" w:rsidRDefault="003C2C2E" w:rsidP="00B55C3A">
      <w:pPr>
        <w:ind w:firstLine="709"/>
        <w:jc w:val="both"/>
        <w:rPr>
          <w:sz w:val="22"/>
          <w:szCs w:val="22"/>
          <w:lang w:val="en-US"/>
        </w:rPr>
      </w:pPr>
      <w:r w:rsidRPr="00032AD9">
        <w:rPr>
          <w:sz w:val="22"/>
          <w:szCs w:val="22"/>
          <w:lang w:val="en-US"/>
        </w:rPr>
        <w:t>The s</w:t>
      </w:r>
      <w:r w:rsidR="009B355A" w:rsidRPr="00032AD9">
        <w:rPr>
          <w:sz w:val="22"/>
          <w:szCs w:val="22"/>
          <w:lang w:val="en-US"/>
        </w:rPr>
        <w:t>tandard adjuvant treatment</w:t>
      </w:r>
      <w:r w:rsidR="0070432F" w:rsidRPr="00032AD9">
        <w:rPr>
          <w:sz w:val="22"/>
          <w:szCs w:val="22"/>
          <w:lang w:val="en-US"/>
        </w:rPr>
        <w:t xml:space="preserve"> (</w:t>
      </w:r>
      <w:r w:rsidR="00AD6568" w:rsidRPr="00032AD9">
        <w:rPr>
          <w:sz w:val="22"/>
          <w:szCs w:val="22"/>
          <w:lang w:val="en-US"/>
        </w:rPr>
        <w:t>examples of standard schedules summarized below</w:t>
      </w:r>
      <w:r w:rsidR="0070432F" w:rsidRPr="00032AD9">
        <w:rPr>
          <w:sz w:val="22"/>
          <w:szCs w:val="22"/>
          <w:lang w:val="en-US"/>
        </w:rPr>
        <w:t xml:space="preserve">) </w:t>
      </w:r>
      <w:r w:rsidR="009B355A" w:rsidRPr="00032AD9">
        <w:rPr>
          <w:sz w:val="22"/>
          <w:szCs w:val="22"/>
          <w:lang w:val="en-US"/>
        </w:rPr>
        <w:t xml:space="preserve">will be realized at </w:t>
      </w:r>
      <w:r w:rsidRPr="00032AD9">
        <w:rPr>
          <w:sz w:val="22"/>
          <w:szCs w:val="22"/>
          <w:lang w:val="en-US"/>
        </w:rPr>
        <w:t xml:space="preserve">the </w:t>
      </w:r>
      <w:r w:rsidR="009B355A" w:rsidRPr="00032AD9">
        <w:rPr>
          <w:sz w:val="22"/>
          <w:szCs w:val="22"/>
          <w:lang w:val="en-US"/>
        </w:rPr>
        <w:t xml:space="preserve">Department of Radiation </w:t>
      </w:r>
      <w:r w:rsidR="0070432F" w:rsidRPr="00032AD9">
        <w:rPr>
          <w:sz w:val="22"/>
          <w:szCs w:val="22"/>
          <w:lang w:val="en-US"/>
        </w:rPr>
        <w:t>O</w:t>
      </w:r>
      <w:r w:rsidR="009B355A" w:rsidRPr="00032AD9">
        <w:rPr>
          <w:sz w:val="22"/>
          <w:szCs w:val="22"/>
          <w:lang w:val="en-US"/>
        </w:rPr>
        <w:t>ncology</w:t>
      </w:r>
      <w:r w:rsidR="00AD6568" w:rsidRPr="00032AD9">
        <w:rPr>
          <w:sz w:val="22"/>
          <w:szCs w:val="22"/>
          <w:lang w:val="en-US"/>
        </w:rPr>
        <w:t xml:space="preserve"> and Department of Comprehensive </w:t>
      </w:r>
      <w:r w:rsidR="008E45FD" w:rsidRPr="00032AD9">
        <w:rPr>
          <w:sz w:val="22"/>
          <w:szCs w:val="22"/>
          <w:lang w:val="en-US"/>
        </w:rPr>
        <w:t xml:space="preserve">Oncology </w:t>
      </w:r>
      <w:r w:rsidR="00AD6568" w:rsidRPr="00032AD9">
        <w:rPr>
          <w:sz w:val="22"/>
          <w:szCs w:val="22"/>
          <w:lang w:val="en-US"/>
        </w:rPr>
        <w:t>Care</w:t>
      </w:r>
      <w:r w:rsidR="009B355A" w:rsidRPr="00032AD9">
        <w:rPr>
          <w:sz w:val="22"/>
          <w:szCs w:val="22"/>
          <w:lang w:val="en-US"/>
        </w:rPr>
        <w:t xml:space="preserve">, </w:t>
      </w:r>
      <w:r w:rsidR="008E45FD" w:rsidRPr="00032AD9">
        <w:rPr>
          <w:sz w:val="22"/>
          <w:szCs w:val="22"/>
          <w:lang w:val="en-US"/>
        </w:rPr>
        <w:t xml:space="preserve">at </w:t>
      </w:r>
      <w:r w:rsidR="009B355A" w:rsidRPr="00032AD9">
        <w:rPr>
          <w:sz w:val="22"/>
          <w:szCs w:val="22"/>
          <w:lang w:val="en-US"/>
        </w:rPr>
        <w:t xml:space="preserve">MMCI. All patients irradiated at MMCI undergo </w:t>
      </w:r>
      <w:r w:rsidR="00087F97" w:rsidRPr="00032AD9">
        <w:rPr>
          <w:sz w:val="22"/>
          <w:szCs w:val="22"/>
          <w:lang w:val="en-US"/>
        </w:rPr>
        <w:t>planning MRI (with administration of contrast agent) for registration to planning CT as a process of accurate delineation of target volumes as well as organs at risk (software Eclipse</w:t>
      </w:r>
      <w:r w:rsidR="00087F97" w:rsidRPr="00032AD9">
        <w:rPr>
          <w:sz w:val="22"/>
          <w:szCs w:val="22"/>
          <w:vertAlign w:val="superscript"/>
          <w:lang w:val="en-US"/>
        </w:rPr>
        <w:t>TM</w:t>
      </w:r>
      <w:r w:rsidR="00087F97" w:rsidRPr="00032AD9">
        <w:rPr>
          <w:sz w:val="22"/>
          <w:szCs w:val="22"/>
          <w:lang w:val="en-US"/>
        </w:rPr>
        <w:t xml:space="preserve">). </w:t>
      </w:r>
      <w:r w:rsidR="00C577FD" w:rsidRPr="00032AD9">
        <w:rPr>
          <w:sz w:val="22"/>
          <w:szCs w:val="22"/>
          <w:lang w:val="en-US"/>
        </w:rPr>
        <w:t xml:space="preserve">All these procedures are standard part of modern RT procedure (RT planning). </w:t>
      </w:r>
      <w:r w:rsidR="00087F97" w:rsidRPr="00032AD9">
        <w:rPr>
          <w:sz w:val="22"/>
          <w:szCs w:val="22"/>
          <w:lang w:val="en-US"/>
        </w:rPr>
        <w:t>This planning MRI is usually acquired 1 week before start of irradiation, which is usually timed 5-</w:t>
      </w:r>
      <w:r w:rsidR="00F06BF6" w:rsidRPr="00032AD9">
        <w:rPr>
          <w:sz w:val="22"/>
          <w:szCs w:val="22"/>
          <w:lang w:val="en-US"/>
        </w:rPr>
        <w:t>6</w:t>
      </w:r>
      <w:r w:rsidR="00087F97" w:rsidRPr="00032AD9">
        <w:rPr>
          <w:sz w:val="22"/>
          <w:szCs w:val="22"/>
          <w:lang w:val="en-US"/>
        </w:rPr>
        <w:t xml:space="preserve"> weeks after surgery. E</w:t>
      </w:r>
      <w:r w:rsidR="00EE6733" w:rsidRPr="00032AD9">
        <w:rPr>
          <w:sz w:val="22"/>
          <w:szCs w:val="22"/>
          <w:lang w:val="en-US"/>
        </w:rPr>
        <w:t>xperienced neuroradiologist (</w:t>
      </w:r>
      <w:r w:rsidR="00087F97" w:rsidRPr="00032AD9">
        <w:rPr>
          <w:sz w:val="22"/>
          <w:szCs w:val="22"/>
          <w:lang w:val="en-US"/>
        </w:rPr>
        <w:t xml:space="preserve">Belanova, board exam in neuroradiology) will evaluate planning MRI for all patients and will delineate regions of potential </w:t>
      </w:r>
      <w:r w:rsidR="00C577FD" w:rsidRPr="00032AD9">
        <w:rPr>
          <w:sz w:val="22"/>
          <w:szCs w:val="22"/>
          <w:lang w:val="en-US"/>
        </w:rPr>
        <w:t>rapid early progression</w:t>
      </w:r>
      <w:r w:rsidR="00087F97" w:rsidRPr="00032AD9">
        <w:rPr>
          <w:sz w:val="22"/>
          <w:szCs w:val="22"/>
          <w:lang w:val="en-US"/>
        </w:rPr>
        <w:t xml:space="preserve"> (if presented</w:t>
      </w:r>
      <w:r w:rsidR="002805B3" w:rsidRPr="00032AD9">
        <w:rPr>
          <w:sz w:val="22"/>
          <w:szCs w:val="22"/>
          <w:lang w:val="en-US"/>
        </w:rPr>
        <w:t>;</w:t>
      </w:r>
      <w:r w:rsidR="00C577FD" w:rsidRPr="00032AD9">
        <w:rPr>
          <w:sz w:val="22"/>
          <w:szCs w:val="22"/>
          <w:lang w:val="en-US"/>
        </w:rPr>
        <w:t xml:space="preserve"> </w:t>
      </w:r>
      <w:r w:rsidR="002805B3" w:rsidRPr="00032AD9">
        <w:rPr>
          <w:sz w:val="22"/>
          <w:szCs w:val="22"/>
          <w:lang w:val="en-US"/>
        </w:rPr>
        <w:t>d</w:t>
      </w:r>
      <w:r w:rsidR="00C577FD" w:rsidRPr="00032AD9">
        <w:rPr>
          <w:sz w:val="22"/>
          <w:szCs w:val="22"/>
          <w:lang w:val="en-US"/>
        </w:rPr>
        <w:t xml:space="preserve">efined as a new </w:t>
      </w:r>
      <w:r w:rsidR="002805B3" w:rsidRPr="00032AD9">
        <w:rPr>
          <w:sz w:val="22"/>
          <w:szCs w:val="22"/>
          <w:lang w:val="en-US"/>
        </w:rPr>
        <w:t>contrast enhancing leasion, ≥25% increase in any dimension of the residual tumor or as a clear progression based on neuroradiologist judgement; all comparing to postoperative MR</w:t>
      </w:r>
      <w:r w:rsidR="00263304" w:rsidRPr="00032AD9">
        <w:rPr>
          <w:sz w:val="22"/>
          <w:szCs w:val="22"/>
          <w:lang w:val="en-US"/>
        </w:rPr>
        <w:t>I</w:t>
      </w:r>
      <w:r w:rsidR="00087F97" w:rsidRPr="00032AD9">
        <w:rPr>
          <w:sz w:val="22"/>
          <w:szCs w:val="22"/>
          <w:lang w:val="en-US"/>
        </w:rPr>
        <w:t>).</w:t>
      </w:r>
    </w:p>
    <w:p w14:paraId="30C86212" w14:textId="12DF6978" w:rsidR="0008593D" w:rsidRPr="00032AD9" w:rsidRDefault="002805B3" w:rsidP="00B55C3A">
      <w:pPr>
        <w:ind w:firstLine="709"/>
        <w:jc w:val="both"/>
        <w:rPr>
          <w:sz w:val="22"/>
          <w:szCs w:val="22"/>
          <w:lang w:val="en-US"/>
        </w:rPr>
      </w:pPr>
      <w:r w:rsidRPr="00032AD9">
        <w:rPr>
          <w:sz w:val="22"/>
          <w:szCs w:val="22"/>
          <w:lang w:val="en-US"/>
        </w:rPr>
        <w:t>Patients without evidence of REP will further undergo standard adjuvant oncology treatment according to established institutional and national guidelines as follow:</w:t>
      </w:r>
      <w:r w:rsidR="0008593D" w:rsidRPr="00032AD9">
        <w:rPr>
          <w:sz w:val="22"/>
          <w:szCs w:val="22"/>
          <w:lang w:val="en-US"/>
        </w:rPr>
        <w:t xml:space="preserve"> 1) Stupp regimen </w:t>
      </w:r>
      <w:r w:rsidR="00111A4B" w:rsidRPr="00032AD9">
        <w:rPr>
          <w:sz w:val="22"/>
          <w:szCs w:val="22"/>
          <w:lang w:val="en-US"/>
        </w:rPr>
        <w:t xml:space="preserve">[8] </w:t>
      </w:r>
      <w:r w:rsidR="0008593D" w:rsidRPr="00032AD9">
        <w:rPr>
          <w:sz w:val="22"/>
          <w:szCs w:val="22"/>
          <w:lang w:val="en-US"/>
        </w:rPr>
        <w:t>for patients in a good general condition, patient able to undergo long (6 weeks) chemo</w:t>
      </w:r>
      <w:r w:rsidR="00864D2A" w:rsidRPr="00032AD9">
        <w:rPr>
          <w:sz w:val="22"/>
          <w:szCs w:val="22"/>
          <w:lang w:val="en-US"/>
        </w:rPr>
        <w:t>RT</w:t>
      </w:r>
      <w:r w:rsidR="0008593D" w:rsidRPr="00032AD9">
        <w:rPr>
          <w:sz w:val="22"/>
          <w:szCs w:val="22"/>
          <w:lang w:val="en-US"/>
        </w:rPr>
        <w:t xml:space="preserve">. Indication according to treating physician, no influence by presented study (total dose of 60 Gy, administered in 30 daily fractions over a period of 6 weeks. Concurrent temozolomide administered with </w:t>
      </w:r>
      <w:r w:rsidR="00864D2A" w:rsidRPr="00032AD9">
        <w:rPr>
          <w:sz w:val="22"/>
          <w:szCs w:val="22"/>
          <w:lang w:val="en-US"/>
        </w:rPr>
        <w:t>RT</w:t>
      </w:r>
      <w:r w:rsidR="0008593D" w:rsidRPr="00032AD9">
        <w:rPr>
          <w:sz w:val="22"/>
          <w:szCs w:val="22"/>
          <w:lang w:val="en-US"/>
        </w:rPr>
        <w:t xml:space="preserve"> at a dose of 75 mg per square meter of body-surface area per day for maximum of 49 consecutive days from day 1 until the final day of </w:t>
      </w:r>
      <w:r w:rsidR="00864D2A" w:rsidRPr="00032AD9">
        <w:rPr>
          <w:sz w:val="22"/>
          <w:szCs w:val="22"/>
          <w:lang w:val="en-US"/>
        </w:rPr>
        <w:t>RT</w:t>
      </w:r>
      <w:r w:rsidR="0008593D" w:rsidRPr="00032AD9">
        <w:rPr>
          <w:sz w:val="22"/>
          <w:szCs w:val="22"/>
          <w:lang w:val="en-US"/>
        </w:rPr>
        <w:t>. Adjuvant temozolomide administered at a dose of 150 to 200 mg per square meter per day for 5 consecutive days of a 28-day cycle for up to 6 cycles or until disease progression. 2) Perry accelerated regimen</w:t>
      </w:r>
      <w:r w:rsidR="00111A4B" w:rsidRPr="00032AD9">
        <w:rPr>
          <w:sz w:val="22"/>
          <w:szCs w:val="22"/>
          <w:lang w:val="en-US"/>
        </w:rPr>
        <w:t xml:space="preserve"> [31]</w:t>
      </w:r>
      <w:r w:rsidR="0008593D" w:rsidRPr="00032AD9">
        <w:rPr>
          <w:sz w:val="22"/>
          <w:szCs w:val="22"/>
          <w:lang w:val="en-US"/>
        </w:rPr>
        <w:t xml:space="preserve"> for patients ≥65 years old and those deemed by their treating physicians not to be suitable to receive long conventional </w:t>
      </w:r>
      <w:r w:rsidR="00864D2A" w:rsidRPr="00032AD9">
        <w:rPr>
          <w:sz w:val="22"/>
          <w:szCs w:val="22"/>
          <w:lang w:val="en-US"/>
        </w:rPr>
        <w:t>RT</w:t>
      </w:r>
      <w:r w:rsidR="0008593D" w:rsidRPr="00032AD9">
        <w:rPr>
          <w:sz w:val="22"/>
          <w:szCs w:val="22"/>
          <w:lang w:val="en-US"/>
        </w:rPr>
        <w:t xml:space="preserve"> </w:t>
      </w:r>
      <w:r w:rsidR="000A19FF" w:rsidRPr="00032AD9">
        <w:rPr>
          <w:sz w:val="22"/>
          <w:szCs w:val="22"/>
          <w:lang w:val="en-US"/>
        </w:rPr>
        <w:t xml:space="preserve">(literally as in Perry study protocol) </w:t>
      </w:r>
      <w:r w:rsidR="0008593D" w:rsidRPr="00032AD9">
        <w:rPr>
          <w:sz w:val="22"/>
          <w:szCs w:val="22"/>
          <w:lang w:val="en-US"/>
        </w:rPr>
        <w:t xml:space="preserve">in combination with chemotherapy (total dose of 40.05 Gy, administered in 15 daily fractions over a period of 3 weeks. Concurrent temozolomide administered with </w:t>
      </w:r>
      <w:r w:rsidR="00864D2A" w:rsidRPr="00032AD9">
        <w:rPr>
          <w:sz w:val="22"/>
          <w:szCs w:val="22"/>
          <w:lang w:val="en-US"/>
        </w:rPr>
        <w:t>RT</w:t>
      </w:r>
      <w:r w:rsidR="0008593D" w:rsidRPr="00032AD9">
        <w:rPr>
          <w:sz w:val="22"/>
          <w:szCs w:val="22"/>
          <w:lang w:val="en-US"/>
        </w:rPr>
        <w:t xml:space="preserve"> at a dose of 75 mg per square meter of body-surface area per day for 21 consecutive days from day 1 until the final day of </w:t>
      </w:r>
      <w:r w:rsidR="00864D2A" w:rsidRPr="00032AD9">
        <w:rPr>
          <w:sz w:val="22"/>
          <w:szCs w:val="22"/>
          <w:lang w:val="en-US"/>
        </w:rPr>
        <w:t>RT</w:t>
      </w:r>
      <w:r w:rsidR="0008593D" w:rsidRPr="00032AD9">
        <w:rPr>
          <w:sz w:val="22"/>
          <w:szCs w:val="22"/>
          <w:lang w:val="en-US"/>
        </w:rPr>
        <w:t xml:space="preserve">. Adjuvant temozolomide administered at a dose of 150 to 200 mg per square meter per day for 5 consecutive days of a 28-day cycle for up to 12 cycles or until disease progression. </w:t>
      </w:r>
      <w:r w:rsidR="001D6805" w:rsidRPr="00032AD9">
        <w:rPr>
          <w:sz w:val="22"/>
          <w:szCs w:val="22"/>
          <w:lang w:val="en-US"/>
        </w:rPr>
        <w:t xml:space="preserve">3) </w:t>
      </w:r>
      <w:r w:rsidR="0008593D" w:rsidRPr="00032AD9">
        <w:rPr>
          <w:sz w:val="22"/>
          <w:szCs w:val="22"/>
          <w:lang w:val="en-US"/>
        </w:rPr>
        <w:t xml:space="preserve">For patients of any other condition (regardless </w:t>
      </w:r>
      <w:r w:rsidR="00853B2F" w:rsidRPr="00032AD9">
        <w:rPr>
          <w:sz w:val="22"/>
          <w:szCs w:val="22"/>
          <w:lang w:val="en-US"/>
        </w:rPr>
        <w:t>the</w:t>
      </w:r>
      <w:r w:rsidR="0008593D" w:rsidRPr="00032AD9">
        <w:rPr>
          <w:sz w:val="22"/>
          <w:szCs w:val="22"/>
          <w:lang w:val="en-US"/>
        </w:rPr>
        <w:t xml:space="preserve"> age), not suitable to undergo concurrent chemo</w:t>
      </w:r>
      <w:r w:rsidR="00864D2A" w:rsidRPr="00032AD9">
        <w:rPr>
          <w:sz w:val="22"/>
          <w:szCs w:val="22"/>
          <w:lang w:val="en-US"/>
        </w:rPr>
        <w:t>RT</w:t>
      </w:r>
      <w:r w:rsidR="0008593D" w:rsidRPr="00032AD9">
        <w:rPr>
          <w:sz w:val="22"/>
          <w:szCs w:val="22"/>
          <w:lang w:val="en-US"/>
        </w:rPr>
        <w:t xml:space="preserve">, individual adjuvant treatment is indicated, usually accelerated </w:t>
      </w:r>
      <w:r w:rsidR="00864D2A" w:rsidRPr="00032AD9">
        <w:rPr>
          <w:sz w:val="22"/>
          <w:szCs w:val="22"/>
          <w:lang w:val="en-US"/>
        </w:rPr>
        <w:t>RT</w:t>
      </w:r>
      <w:r w:rsidR="0008593D" w:rsidRPr="00032AD9">
        <w:rPr>
          <w:sz w:val="22"/>
          <w:szCs w:val="22"/>
          <w:lang w:val="en-US"/>
        </w:rPr>
        <w:t xml:space="preserve"> alone (</w:t>
      </w:r>
      <w:r w:rsidR="001D6805" w:rsidRPr="00032AD9">
        <w:rPr>
          <w:sz w:val="22"/>
          <w:szCs w:val="22"/>
          <w:lang w:val="en-US"/>
        </w:rPr>
        <w:t>total dose 30-50 Gy in 10-20 daily dose, for example 10x3.0 Gy, 10x3.4 Gy, 15x2.67 Gy, 20x2.5</w:t>
      </w:r>
      <w:r w:rsidR="001713D3" w:rsidRPr="00032AD9">
        <w:rPr>
          <w:sz w:val="22"/>
          <w:szCs w:val="22"/>
          <w:lang w:val="en-US"/>
        </w:rPr>
        <w:t xml:space="preserve"> </w:t>
      </w:r>
      <w:r w:rsidR="001D6805" w:rsidRPr="00032AD9">
        <w:rPr>
          <w:sz w:val="22"/>
          <w:szCs w:val="22"/>
          <w:lang w:val="en-US"/>
        </w:rPr>
        <w:t>Gy and others) followed in some patients by palliative chemotherapy with temozolomide based on patient</w:t>
      </w:r>
      <w:r w:rsidR="001713D3" w:rsidRPr="00032AD9">
        <w:rPr>
          <w:sz w:val="22"/>
          <w:szCs w:val="22"/>
          <w:lang w:val="en-US"/>
        </w:rPr>
        <w:t>´</w:t>
      </w:r>
      <w:r w:rsidR="001D6805" w:rsidRPr="00032AD9">
        <w:rPr>
          <w:sz w:val="22"/>
          <w:szCs w:val="22"/>
          <w:lang w:val="en-US"/>
        </w:rPr>
        <w:t xml:space="preserve">s actual condition. </w:t>
      </w:r>
      <w:r w:rsidR="00794B99" w:rsidRPr="00032AD9">
        <w:rPr>
          <w:sz w:val="22"/>
          <w:szCs w:val="22"/>
          <w:lang w:val="en-US"/>
        </w:rPr>
        <w:t>All patients will be scheduled to regular follow-up with MR</w:t>
      </w:r>
      <w:r w:rsidR="00263304" w:rsidRPr="00032AD9">
        <w:rPr>
          <w:sz w:val="22"/>
          <w:szCs w:val="22"/>
          <w:lang w:val="en-US"/>
        </w:rPr>
        <w:t>I</w:t>
      </w:r>
      <w:r w:rsidR="00794B99" w:rsidRPr="00032AD9">
        <w:rPr>
          <w:sz w:val="22"/>
          <w:szCs w:val="22"/>
          <w:lang w:val="en-US"/>
        </w:rPr>
        <w:t xml:space="preserve"> (first MR</w:t>
      </w:r>
      <w:r w:rsidR="00263304" w:rsidRPr="00032AD9">
        <w:rPr>
          <w:sz w:val="22"/>
          <w:szCs w:val="22"/>
          <w:lang w:val="en-US"/>
        </w:rPr>
        <w:t>I</w:t>
      </w:r>
      <w:r w:rsidR="00794B99" w:rsidRPr="00032AD9">
        <w:rPr>
          <w:sz w:val="22"/>
          <w:szCs w:val="22"/>
          <w:lang w:val="en-US"/>
        </w:rPr>
        <w:t xml:space="preserve"> 2 months after the end of RT, the others every 3 months, otherwise ordered earlier based on clinical need) utilizing standardized RANO criteria.</w:t>
      </w:r>
    </w:p>
    <w:p w14:paraId="126706E9" w14:textId="0A6FD7E3" w:rsidR="00794B99" w:rsidRPr="00032AD9" w:rsidRDefault="00794B99" w:rsidP="00B55C3A">
      <w:pPr>
        <w:ind w:firstLine="709"/>
        <w:jc w:val="both"/>
        <w:rPr>
          <w:sz w:val="22"/>
          <w:szCs w:val="22"/>
          <w:lang w:val="en-US"/>
        </w:rPr>
      </w:pPr>
      <w:r w:rsidRPr="00032AD9">
        <w:rPr>
          <w:sz w:val="22"/>
          <w:szCs w:val="22"/>
          <w:lang w:val="en-US"/>
        </w:rPr>
        <w:t>Patients with the evidence of REP will be scheduled to MET PET (Rehak - Department of Nuclear Medicine, MMCI). MET PET examination</w:t>
      </w:r>
      <w:r w:rsidR="00CD14C8" w:rsidRPr="00032AD9">
        <w:rPr>
          <w:sz w:val="22"/>
          <w:szCs w:val="22"/>
          <w:lang w:val="en-US"/>
        </w:rPr>
        <w:t xml:space="preserve"> (procedures based on previous experience with MET PET in our institution</w:t>
      </w:r>
      <w:r w:rsidR="002F3CD9" w:rsidRPr="00032AD9">
        <w:rPr>
          <w:sz w:val="22"/>
          <w:szCs w:val="22"/>
          <w:lang w:val="en-US"/>
        </w:rPr>
        <w:t xml:space="preserve"> [27]</w:t>
      </w:r>
      <w:r w:rsidR="00400495" w:rsidRPr="00032AD9">
        <w:rPr>
          <w:sz w:val="22"/>
          <w:szCs w:val="22"/>
          <w:lang w:val="en-US"/>
        </w:rPr>
        <w:t>, 250 MBq, images acquisition 5 minutes after admini</w:t>
      </w:r>
      <w:r w:rsidR="002F3CD9" w:rsidRPr="00032AD9">
        <w:rPr>
          <w:sz w:val="22"/>
          <w:szCs w:val="22"/>
          <w:lang w:val="en-US"/>
        </w:rPr>
        <w:t>s</w:t>
      </w:r>
      <w:r w:rsidR="00400495" w:rsidRPr="00032AD9">
        <w:rPr>
          <w:sz w:val="22"/>
          <w:szCs w:val="22"/>
          <w:lang w:val="en-US"/>
        </w:rPr>
        <w:t>tration</w:t>
      </w:r>
      <w:r w:rsidR="00CD14C8" w:rsidRPr="00032AD9">
        <w:rPr>
          <w:sz w:val="22"/>
          <w:szCs w:val="22"/>
          <w:lang w:val="en-US"/>
        </w:rPr>
        <w:t>)</w:t>
      </w:r>
      <w:r w:rsidRPr="00032AD9">
        <w:rPr>
          <w:sz w:val="22"/>
          <w:szCs w:val="22"/>
          <w:lang w:val="en-US"/>
        </w:rPr>
        <w:t xml:space="preserve"> will be performed maximally within 1 week after planning MR</w:t>
      </w:r>
      <w:r w:rsidR="00263304" w:rsidRPr="00032AD9">
        <w:rPr>
          <w:sz w:val="22"/>
          <w:szCs w:val="22"/>
          <w:lang w:val="en-US"/>
        </w:rPr>
        <w:t>I</w:t>
      </w:r>
      <w:r w:rsidRPr="00032AD9">
        <w:rPr>
          <w:sz w:val="22"/>
          <w:szCs w:val="22"/>
          <w:lang w:val="en-US"/>
        </w:rPr>
        <w:t>. Maximum effort (in both, MET PET as well as RT planning) will be paid to avoid potential delay in the start of oncology treatment</w:t>
      </w:r>
      <w:r w:rsidR="00B125D3" w:rsidRPr="00032AD9">
        <w:rPr>
          <w:sz w:val="22"/>
          <w:szCs w:val="22"/>
          <w:lang w:val="en-US"/>
        </w:rPr>
        <w:t xml:space="preserve">. </w:t>
      </w:r>
      <w:r w:rsidRPr="00032AD9">
        <w:rPr>
          <w:sz w:val="22"/>
          <w:szCs w:val="22"/>
          <w:lang w:val="en-US"/>
        </w:rPr>
        <w:t>Image transfer will be ensured utilizing standard Picture Archiving and Communication System (PACS) and software for RT planning (Eclipse</w:t>
      </w:r>
      <w:r w:rsidRPr="00032AD9">
        <w:rPr>
          <w:sz w:val="22"/>
          <w:szCs w:val="22"/>
          <w:vertAlign w:val="superscript"/>
          <w:lang w:val="en-US"/>
        </w:rPr>
        <w:t>TM</w:t>
      </w:r>
      <w:r w:rsidRPr="00032AD9">
        <w:rPr>
          <w:sz w:val="22"/>
          <w:szCs w:val="22"/>
          <w:lang w:val="en-US"/>
        </w:rPr>
        <w:t>)</w:t>
      </w:r>
      <w:r w:rsidR="00E173E4" w:rsidRPr="00032AD9">
        <w:rPr>
          <w:sz w:val="22"/>
          <w:szCs w:val="22"/>
          <w:lang w:val="en-US"/>
        </w:rPr>
        <w:t>.</w:t>
      </w:r>
      <w:r w:rsidRPr="00032AD9">
        <w:rPr>
          <w:sz w:val="22"/>
          <w:szCs w:val="22"/>
          <w:lang w:val="en-US"/>
        </w:rPr>
        <w:t xml:space="preserve"> </w:t>
      </w:r>
      <w:r w:rsidR="00E173E4" w:rsidRPr="00032AD9">
        <w:rPr>
          <w:sz w:val="22"/>
          <w:szCs w:val="22"/>
          <w:lang w:val="en-US"/>
        </w:rPr>
        <w:t xml:space="preserve">Regions with </w:t>
      </w:r>
      <w:r w:rsidRPr="00032AD9">
        <w:rPr>
          <w:sz w:val="22"/>
          <w:szCs w:val="22"/>
          <w:lang w:val="en-US"/>
        </w:rPr>
        <w:t>high MET</w:t>
      </w:r>
      <w:r w:rsidR="00E173E4" w:rsidRPr="00032AD9">
        <w:rPr>
          <w:sz w:val="22"/>
          <w:szCs w:val="22"/>
          <w:lang w:val="en-US"/>
        </w:rPr>
        <w:t xml:space="preserve"> </w:t>
      </w:r>
      <w:r w:rsidRPr="00032AD9">
        <w:rPr>
          <w:sz w:val="22"/>
          <w:szCs w:val="22"/>
          <w:lang w:val="en-US"/>
        </w:rPr>
        <w:t>PET</w:t>
      </w:r>
      <w:r w:rsidR="00E173E4" w:rsidRPr="00032AD9">
        <w:rPr>
          <w:sz w:val="22"/>
          <w:szCs w:val="22"/>
          <w:lang w:val="en-US"/>
        </w:rPr>
        <w:t xml:space="preserve"> </w:t>
      </w:r>
      <w:r w:rsidRPr="00032AD9">
        <w:rPr>
          <w:sz w:val="22"/>
          <w:szCs w:val="22"/>
          <w:lang w:val="en-US"/>
        </w:rPr>
        <w:t xml:space="preserve">uptake (region of high SUV will be dedicated by Rehak) </w:t>
      </w:r>
      <w:r w:rsidR="00E173E4" w:rsidRPr="00032AD9">
        <w:rPr>
          <w:sz w:val="22"/>
          <w:szCs w:val="22"/>
          <w:lang w:val="en-US"/>
        </w:rPr>
        <w:t>will be contoured and after coregistration to planning CT transferred to RT treatment planning software.</w:t>
      </w:r>
      <w:r w:rsidR="00DE7CC2" w:rsidRPr="00032AD9">
        <w:rPr>
          <w:sz w:val="22"/>
          <w:szCs w:val="22"/>
          <w:lang w:val="en-US"/>
        </w:rPr>
        <w:t xml:space="preserve"> </w:t>
      </w:r>
      <w:r w:rsidR="00712632" w:rsidRPr="00032AD9">
        <w:rPr>
          <w:sz w:val="22"/>
          <w:szCs w:val="22"/>
          <w:lang w:val="en-US"/>
        </w:rPr>
        <w:t xml:space="preserve">The residual tumor volume defined by focal MET uptake </w:t>
      </w:r>
      <w:r w:rsidR="00DE7CC2" w:rsidRPr="00032AD9">
        <w:rPr>
          <w:sz w:val="22"/>
          <w:szCs w:val="22"/>
          <w:lang w:val="en-US"/>
        </w:rPr>
        <w:t>will be</w:t>
      </w:r>
      <w:r w:rsidR="00712632" w:rsidRPr="00032AD9">
        <w:rPr>
          <w:sz w:val="22"/>
          <w:szCs w:val="22"/>
          <w:lang w:val="en-US"/>
        </w:rPr>
        <w:t xml:space="preserve"> delineated manually</w:t>
      </w:r>
      <w:r w:rsidR="00DE7CC2" w:rsidRPr="00032AD9">
        <w:rPr>
          <w:sz w:val="22"/>
          <w:szCs w:val="22"/>
          <w:lang w:val="en-US"/>
        </w:rPr>
        <w:t xml:space="preserve"> (Eclipse</w:t>
      </w:r>
      <w:r w:rsidR="00DE7CC2" w:rsidRPr="00032AD9">
        <w:rPr>
          <w:sz w:val="22"/>
          <w:szCs w:val="22"/>
          <w:vertAlign w:val="superscript"/>
          <w:lang w:val="en-US"/>
        </w:rPr>
        <w:t>TM</w:t>
      </w:r>
      <w:r w:rsidR="00DE7CC2" w:rsidRPr="00032AD9">
        <w:rPr>
          <w:sz w:val="22"/>
          <w:szCs w:val="22"/>
          <w:lang w:val="en-US"/>
        </w:rPr>
        <w:t>) by Rehak</w:t>
      </w:r>
      <w:r w:rsidR="00712632" w:rsidRPr="00032AD9">
        <w:rPr>
          <w:sz w:val="22"/>
          <w:szCs w:val="22"/>
          <w:lang w:val="en-US"/>
        </w:rPr>
        <w:t>. However, a threshold value for the tumor/normal tissue index of 1.</w:t>
      </w:r>
      <w:r w:rsidR="00DE7CC2" w:rsidRPr="00032AD9">
        <w:rPr>
          <w:sz w:val="22"/>
          <w:szCs w:val="22"/>
          <w:lang w:val="en-US"/>
        </w:rPr>
        <w:t>3</w:t>
      </w:r>
      <w:r w:rsidR="00F611CA" w:rsidRPr="00032AD9">
        <w:rPr>
          <w:sz w:val="22"/>
          <w:szCs w:val="22"/>
          <w:lang w:val="en-US"/>
        </w:rPr>
        <w:t xml:space="preserve"> (discussion about appropriate threshold value see above)</w:t>
      </w:r>
      <w:r w:rsidR="00712632" w:rsidRPr="00032AD9">
        <w:rPr>
          <w:sz w:val="22"/>
          <w:szCs w:val="22"/>
          <w:lang w:val="en-US"/>
        </w:rPr>
        <w:t xml:space="preserve"> w</w:t>
      </w:r>
      <w:r w:rsidR="00DE7CC2" w:rsidRPr="00032AD9">
        <w:rPr>
          <w:sz w:val="22"/>
          <w:szCs w:val="22"/>
          <w:lang w:val="en-US"/>
        </w:rPr>
        <w:t xml:space="preserve">ill be </w:t>
      </w:r>
      <w:r w:rsidR="00712632" w:rsidRPr="00032AD9">
        <w:rPr>
          <w:sz w:val="22"/>
          <w:szCs w:val="22"/>
          <w:lang w:val="en-US"/>
        </w:rPr>
        <w:t>considered for the tumor margin in all patients. For all the patients included in the trial, the same windowing w</w:t>
      </w:r>
      <w:r w:rsidR="00DE7CC2" w:rsidRPr="00032AD9">
        <w:rPr>
          <w:sz w:val="22"/>
          <w:szCs w:val="22"/>
          <w:lang w:val="en-US"/>
        </w:rPr>
        <w:t>ill be</w:t>
      </w:r>
      <w:r w:rsidR="00712632" w:rsidRPr="00032AD9">
        <w:rPr>
          <w:sz w:val="22"/>
          <w:szCs w:val="22"/>
          <w:lang w:val="en-US"/>
        </w:rPr>
        <w:t xml:space="preserve"> used.</w:t>
      </w:r>
      <w:r w:rsidR="00DE7CC2" w:rsidRPr="00032AD9">
        <w:rPr>
          <w:sz w:val="22"/>
          <w:szCs w:val="22"/>
          <w:lang w:val="en-US"/>
        </w:rPr>
        <w:t xml:space="preserve"> Normal tissue for calculation of tumor/normal index will be represented by SUV in contralateral hemisphere in healthy brain including both grey and white matter and calculated not only from one slice but as a median value from several slices). </w:t>
      </w:r>
      <w:r w:rsidR="00712632" w:rsidRPr="00032AD9">
        <w:rPr>
          <w:sz w:val="22"/>
          <w:szCs w:val="22"/>
          <w:lang w:val="en-US"/>
        </w:rPr>
        <w:t xml:space="preserve">An automated definition of tumor volume </w:t>
      </w:r>
      <w:r w:rsidR="00DE7CC2" w:rsidRPr="00032AD9">
        <w:rPr>
          <w:sz w:val="22"/>
          <w:szCs w:val="22"/>
          <w:lang w:val="en-US"/>
        </w:rPr>
        <w:t>i</w:t>
      </w:r>
      <w:r w:rsidR="00712632" w:rsidRPr="00032AD9">
        <w:rPr>
          <w:sz w:val="22"/>
          <w:szCs w:val="22"/>
          <w:lang w:val="en-US"/>
        </w:rPr>
        <w:t>s not feasible because of the small size of focal MET uptake in most patients and the high uptake in normal tissue such as lacrimal glands or mucosa.</w:t>
      </w:r>
      <w:r w:rsidR="00DE7CC2" w:rsidRPr="00032AD9">
        <w:rPr>
          <w:sz w:val="22"/>
          <w:szCs w:val="22"/>
          <w:lang w:val="en-US"/>
        </w:rPr>
        <w:t xml:space="preserve"> Adjuvant oncology treatment for this patients with REP will be performed according to regimens </w:t>
      </w:r>
      <w:r w:rsidR="00DE7CC2" w:rsidRPr="00032AD9">
        <w:rPr>
          <w:sz w:val="22"/>
          <w:szCs w:val="22"/>
          <w:lang w:val="en-US"/>
        </w:rPr>
        <w:lastRenderedPageBreak/>
        <w:t>described above, however, RT will be optimized based on information from MET PET: high MET PET uptake will be</w:t>
      </w:r>
      <w:r w:rsidR="00CA2C7E" w:rsidRPr="00032AD9">
        <w:rPr>
          <w:sz w:val="22"/>
          <w:szCs w:val="22"/>
          <w:lang w:val="en-US"/>
        </w:rPr>
        <w:t>, together with contrast enhancing regions on T1 weighted MR</w:t>
      </w:r>
      <w:r w:rsidR="00263304" w:rsidRPr="00032AD9">
        <w:rPr>
          <w:sz w:val="22"/>
          <w:szCs w:val="22"/>
          <w:lang w:val="en-US"/>
        </w:rPr>
        <w:t>I</w:t>
      </w:r>
      <w:r w:rsidR="00CA2C7E" w:rsidRPr="00032AD9">
        <w:rPr>
          <w:sz w:val="22"/>
          <w:szCs w:val="22"/>
          <w:lang w:val="en-US"/>
        </w:rPr>
        <w:t>,</w:t>
      </w:r>
      <w:r w:rsidR="00DE7CC2" w:rsidRPr="00032AD9">
        <w:rPr>
          <w:sz w:val="22"/>
          <w:szCs w:val="22"/>
          <w:lang w:val="en-US"/>
        </w:rPr>
        <w:t xml:space="preserve"> </w:t>
      </w:r>
      <w:r w:rsidR="00CA2C7E" w:rsidRPr="00032AD9">
        <w:rPr>
          <w:sz w:val="22"/>
          <w:szCs w:val="22"/>
          <w:lang w:val="en-US"/>
        </w:rPr>
        <w:t>integral part of delineation of gross tumor volume (first step in target volumes delineation during RT planning; this is basis for further standard expansion of target volumes to accommodate prescribed RT dose</w:t>
      </w:r>
      <w:r w:rsidR="00F85287" w:rsidRPr="00032AD9">
        <w:rPr>
          <w:sz w:val="22"/>
          <w:szCs w:val="22"/>
          <w:lang w:val="en-US"/>
        </w:rPr>
        <w:t xml:space="preserve"> to</w:t>
      </w:r>
      <w:r w:rsidR="00CA2C7E" w:rsidRPr="00032AD9">
        <w:rPr>
          <w:sz w:val="22"/>
          <w:szCs w:val="22"/>
          <w:lang w:val="en-US"/>
        </w:rPr>
        <w:t xml:space="preserve"> regions of microscopic disease). Special attention will be on discordant regions of high MET PET uptake and no MR</w:t>
      </w:r>
      <w:r w:rsidR="00263304" w:rsidRPr="00032AD9">
        <w:rPr>
          <w:sz w:val="22"/>
          <w:szCs w:val="22"/>
          <w:lang w:val="en-US"/>
        </w:rPr>
        <w:t>I</w:t>
      </w:r>
      <w:r w:rsidR="00CA2C7E" w:rsidRPr="00032AD9">
        <w:rPr>
          <w:sz w:val="22"/>
          <w:szCs w:val="22"/>
          <w:lang w:val="en-US"/>
        </w:rPr>
        <w:t xml:space="preserve"> contrast enhancement.</w:t>
      </w:r>
      <w:r w:rsidR="0075611E" w:rsidRPr="00032AD9">
        <w:rPr>
          <w:sz w:val="22"/>
          <w:szCs w:val="22"/>
          <w:lang w:val="en-US"/>
        </w:rPr>
        <w:t xml:space="preserve"> Follow up will be realized on the same basis as for patients without REP. </w:t>
      </w:r>
    </w:p>
    <w:p w14:paraId="1580DF3B" w14:textId="77777777" w:rsidR="00E32720" w:rsidRPr="00032AD9" w:rsidRDefault="00E32720" w:rsidP="00B55C3A">
      <w:pPr>
        <w:pStyle w:val="Odstavecseseznamem"/>
        <w:ind w:left="0" w:firstLine="709"/>
        <w:jc w:val="both"/>
        <w:rPr>
          <w:rFonts w:ascii="Times New Roman" w:hAnsi="Times New Roman" w:cs="Times New Roman"/>
          <w:sz w:val="22"/>
          <w:szCs w:val="22"/>
          <w:lang w:val="en-US"/>
        </w:rPr>
      </w:pPr>
      <w:r w:rsidRPr="00032AD9">
        <w:rPr>
          <w:rFonts w:ascii="Times New Roman" w:hAnsi="Times New Roman" w:cs="Times New Roman"/>
          <w:sz w:val="22"/>
          <w:szCs w:val="22"/>
          <w:lang w:val="en-US" w:eastAsia="cs-CZ"/>
        </w:rPr>
        <w:t>The cellular and cytogenetic features together with the final histologic diagnosis according to the 2016 WHO classification of CNS tumors will be determined</w:t>
      </w:r>
      <w:r w:rsidRPr="00032AD9">
        <w:rPr>
          <w:rFonts w:ascii="Times New Roman" w:hAnsi="Times New Roman" w:cs="Times New Roman"/>
          <w:sz w:val="22"/>
          <w:szCs w:val="22"/>
          <w:lang w:val="en-US"/>
        </w:rPr>
        <w:t xml:space="preserve"> by a skilled neuropathologist (</w:t>
      </w:r>
      <w:r w:rsidR="002805B3" w:rsidRPr="00032AD9">
        <w:rPr>
          <w:rFonts w:ascii="Times New Roman" w:hAnsi="Times New Roman" w:cs="Times New Roman"/>
          <w:sz w:val="22"/>
          <w:szCs w:val="22"/>
          <w:lang w:val="en-US"/>
        </w:rPr>
        <w:t>Kren, Muckova</w:t>
      </w:r>
      <w:r w:rsidRPr="00032AD9">
        <w:rPr>
          <w:rFonts w:ascii="Times New Roman" w:hAnsi="Times New Roman" w:cs="Times New Roman"/>
          <w:sz w:val="22"/>
          <w:szCs w:val="22"/>
          <w:lang w:val="en-US"/>
        </w:rPr>
        <w:t>) and molecular biologists (Slaby, Sana,</w:t>
      </w:r>
      <w:r w:rsidR="00CD14C8" w:rsidRPr="00032AD9">
        <w:rPr>
          <w:rFonts w:ascii="Times New Roman" w:hAnsi="Times New Roman" w:cs="Times New Roman"/>
          <w:sz w:val="22"/>
          <w:szCs w:val="22"/>
          <w:lang w:val="en-US"/>
        </w:rPr>
        <w:t xml:space="preserve"> Souckova</w:t>
      </w:r>
      <w:r w:rsidRPr="00032AD9">
        <w:rPr>
          <w:rFonts w:ascii="Times New Roman" w:hAnsi="Times New Roman" w:cs="Times New Roman"/>
          <w:sz w:val="22"/>
          <w:szCs w:val="22"/>
          <w:lang w:val="en-US"/>
        </w:rPr>
        <w:t>). Neuropathologist and molecular biologists will be blinded to radiologic imaging. Routine staining methods will be applied for standard histopathological evaluation (e.g. hematoxylin-eosin). Immunohistochemical analyses and molecular testing will focused on proliferation rate (Ki67),</w:t>
      </w:r>
      <w:r w:rsidR="00B544A4" w:rsidRPr="00032AD9">
        <w:rPr>
          <w:rFonts w:ascii="Times New Roman" w:hAnsi="Times New Roman" w:cs="Times New Roman"/>
          <w:sz w:val="22"/>
          <w:szCs w:val="22"/>
          <w:lang w:val="en-US"/>
        </w:rPr>
        <w:t xml:space="preserve"> programmed death ligand 1 positivity,</w:t>
      </w:r>
      <w:r w:rsidRPr="00032AD9">
        <w:rPr>
          <w:rFonts w:ascii="Times New Roman" w:hAnsi="Times New Roman" w:cs="Times New Roman"/>
          <w:sz w:val="22"/>
          <w:szCs w:val="22"/>
          <w:lang w:val="en-US"/>
        </w:rPr>
        <w:t xml:space="preserve"> IDH</w:t>
      </w:r>
      <w:r w:rsidR="00B544A4" w:rsidRPr="00032AD9">
        <w:rPr>
          <w:rFonts w:ascii="Times New Roman" w:hAnsi="Times New Roman" w:cs="Times New Roman"/>
          <w:sz w:val="22"/>
          <w:szCs w:val="22"/>
          <w:lang w:val="en-US"/>
        </w:rPr>
        <w:t>,</w:t>
      </w:r>
      <w:r w:rsidRPr="00032AD9">
        <w:rPr>
          <w:rFonts w:ascii="Times New Roman" w:hAnsi="Times New Roman" w:cs="Times New Roman"/>
          <w:sz w:val="22"/>
          <w:szCs w:val="22"/>
          <w:lang w:val="en-US"/>
        </w:rPr>
        <w:t xml:space="preserve"> ATRX</w:t>
      </w:r>
      <w:r w:rsidR="00B544A4" w:rsidRPr="00032AD9">
        <w:rPr>
          <w:rFonts w:ascii="Times New Roman" w:hAnsi="Times New Roman" w:cs="Times New Roman"/>
          <w:sz w:val="22"/>
          <w:szCs w:val="22"/>
          <w:lang w:val="en-US"/>
        </w:rPr>
        <w:t xml:space="preserve"> and TERT mutational</w:t>
      </w:r>
      <w:r w:rsidRPr="00032AD9">
        <w:rPr>
          <w:rFonts w:ascii="Times New Roman" w:hAnsi="Times New Roman" w:cs="Times New Roman"/>
          <w:sz w:val="22"/>
          <w:szCs w:val="22"/>
          <w:lang w:val="en-US"/>
        </w:rPr>
        <w:t xml:space="preserve"> status, MGMT</w:t>
      </w:r>
      <w:r w:rsidR="00B544A4" w:rsidRPr="00032AD9">
        <w:rPr>
          <w:rFonts w:ascii="Times New Roman" w:hAnsi="Times New Roman" w:cs="Times New Roman"/>
          <w:sz w:val="22"/>
          <w:szCs w:val="22"/>
          <w:lang w:val="en-US"/>
        </w:rPr>
        <w:t xml:space="preserve"> promoter</w:t>
      </w:r>
      <w:r w:rsidRPr="00032AD9">
        <w:rPr>
          <w:rFonts w:ascii="Times New Roman" w:hAnsi="Times New Roman" w:cs="Times New Roman"/>
          <w:sz w:val="22"/>
          <w:szCs w:val="22"/>
          <w:lang w:val="en-US"/>
        </w:rPr>
        <w:t xml:space="preserve"> methylation</w:t>
      </w:r>
      <w:r w:rsidR="005F56AF" w:rsidRPr="00032AD9">
        <w:rPr>
          <w:rFonts w:ascii="Times New Roman" w:hAnsi="Times New Roman" w:cs="Times New Roman"/>
          <w:sz w:val="22"/>
          <w:szCs w:val="22"/>
          <w:lang w:val="en-US"/>
        </w:rPr>
        <w:t xml:space="preserve"> status, and 1p/19q co-deletion</w:t>
      </w:r>
      <w:r w:rsidRPr="00032AD9">
        <w:rPr>
          <w:rFonts w:ascii="Times New Roman" w:hAnsi="Times New Roman" w:cs="Times New Roman"/>
          <w:sz w:val="22"/>
          <w:szCs w:val="22"/>
          <w:lang w:val="en-US"/>
        </w:rPr>
        <w:t>.</w:t>
      </w:r>
      <w:r w:rsidR="00F501C2" w:rsidRPr="00032AD9">
        <w:rPr>
          <w:rFonts w:ascii="Times New Roman" w:hAnsi="Times New Roman" w:cs="Times New Roman"/>
          <w:sz w:val="22"/>
          <w:szCs w:val="22"/>
          <w:lang w:val="en-US"/>
        </w:rPr>
        <w:t xml:space="preserve"> These markers will be evaluated retrospectively also in our historical control cohort of 95 patients (see above preliminary data as well as statistical consideration section below) in order to ensure valid comparison of groups (without vs. with MET PET) in multivariable analysis</w:t>
      </w:r>
      <w:r w:rsidR="009B4E5E" w:rsidRPr="00032AD9">
        <w:rPr>
          <w:rFonts w:ascii="Times New Roman" w:hAnsi="Times New Roman" w:cs="Times New Roman"/>
          <w:sz w:val="22"/>
          <w:szCs w:val="22"/>
          <w:lang w:val="en-US"/>
        </w:rPr>
        <w:t xml:space="preserve"> (Cox Proportional-Hazards Model)</w:t>
      </w:r>
    </w:p>
    <w:p w14:paraId="0C0091F5" w14:textId="77777777" w:rsidR="00B96BA0" w:rsidRPr="00032AD9" w:rsidRDefault="00904CB2" w:rsidP="00B55C3A">
      <w:pPr>
        <w:pStyle w:val="Odstavecseseznamem"/>
        <w:ind w:left="0" w:firstLine="709"/>
        <w:jc w:val="both"/>
        <w:rPr>
          <w:rFonts w:ascii="Times New Roman" w:hAnsi="Times New Roman" w:cs="Times New Roman"/>
          <w:sz w:val="22"/>
          <w:szCs w:val="22"/>
          <w:lang w:val="en-US"/>
        </w:rPr>
      </w:pPr>
      <w:r w:rsidRPr="00032AD9">
        <w:rPr>
          <w:rFonts w:ascii="Times New Roman" w:hAnsi="Times New Roman" w:cs="Times New Roman"/>
          <w:sz w:val="22"/>
          <w:szCs w:val="22"/>
          <w:lang w:val="en-US"/>
        </w:rPr>
        <w:t>All data will be collected</w:t>
      </w:r>
      <w:r w:rsidR="00D934DD" w:rsidRPr="00032AD9">
        <w:rPr>
          <w:rFonts w:ascii="Times New Roman" w:hAnsi="Times New Roman" w:cs="Times New Roman"/>
          <w:sz w:val="22"/>
          <w:szCs w:val="22"/>
          <w:lang w:val="en-US"/>
        </w:rPr>
        <w:t xml:space="preserve"> in pseudonymized form</w:t>
      </w:r>
      <w:r w:rsidRPr="00032AD9">
        <w:rPr>
          <w:rFonts w:ascii="Times New Roman" w:hAnsi="Times New Roman" w:cs="Times New Roman"/>
          <w:sz w:val="22"/>
          <w:szCs w:val="22"/>
          <w:lang w:val="en-US"/>
        </w:rPr>
        <w:t xml:space="preserve"> in a database (</w:t>
      </w:r>
      <w:r w:rsidR="00D934DD" w:rsidRPr="00032AD9">
        <w:rPr>
          <w:rFonts w:ascii="Times New Roman" w:hAnsi="Times New Roman" w:cs="Times New Roman"/>
          <w:sz w:val="22"/>
          <w:szCs w:val="22"/>
          <w:lang w:val="en-US"/>
        </w:rPr>
        <w:t>full access Lakomy, Smrcka)</w:t>
      </w:r>
      <w:r w:rsidRPr="00032AD9">
        <w:rPr>
          <w:rFonts w:ascii="Times New Roman" w:hAnsi="Times New Roman" w:cs="Times New Roman"/>
          <w:sz w:val="22"/>
          <w:szCs w:val="22"/>
          <w:lang w:val="en-US"/>
        </w:rPr>
        <w:t xml:space="preserve"> and subsequent </w:t>
      </w:r>
      <w:r w:rsidR="00D934DD" w:rsidRPr="00032AD9">
        <w:rPr>
          <w:rFonts w:ascii="Times New Roman" w:hAnsi="Times New Roman" w:cs="Times New Roman"/>
          <w:sz w:val="22"/>
          <w:szCs w:val="22"/>
          <w:lang w:val="en-US"/>
        </w:rPr>
        <w:t>calculations and analysis</w:t>
      </w:r>
      <w:r w:rsidRPr="00032AD9">
        <w:rPr>
          <w:rFonts w:ascii="Times New Roman" w:hAnsi="Times New Roman" w:cs="Times New Roman"/>
          <w:sz w:val="22"/>
          <w:szCs w:val="22"/>
          <w:lang w:val="en-US"/>
        </w:rPr>
        <w:t xml:space="preserve"> (</w:t>
      </w:r>
      <w:r w:rsidR="00D934DD" w:rsidRPr="00032AD9">
        <w:rPr>
          <w:rFonts w:ascii="Times New Roman" w:hAnsi="Times New Roman" w:cs="Times New Roman"/>
          <w:sz w:val="22"/>
          <w:szCs w:val="22"/>
          <w:lang w:val="en-US"/>
        </w:rPr>
        <w:t xml:space="preserve">Lakomy, Smrcka </w:t>
      </w:r>
      <w:r w:rsidRPr="00032AD9">
        <w:rPr>
          <w:rFonts w:ascii="Times New Roman" w:hAnsi="Times New Roman" w:cs="Times New Roman"/>
          <w:sz w:val="22"/>
          <w:szCs w:val="22"/>
          <w:lang w:val="en-US"/>
        </w:rPr>
        <w:t xml:space="preserve">and whole consortium) will </w:t>
      </w:r>
      <w:r w:rsidR="00B5311E" w:rsidRPr="00032AD9">
        <w:rPr>
          <w:rFonts w:ascii="Times New Roman" w:hAnsi="Times New Roman" w:cs="Times New Roman"/>
          <w:sz w:val="22"/>
          <w:szCs w:val="22"/>
          <w:lang w:val="en-US"/>
        </w:rPr>
        <w:t xml:space="preserve">be </w:t>
      </w:r>
      <w:r w:rsidR="00D934DD" w:rsidRPr="00032AD9">
        <w:rPr>
          <w:rFonts w:ascii="Times New Roman" w:hAnsi="Times New Roman" w:cs="Times New Roman"/>
          <w:sz w:val="22"/>
          <w:szCs w:val="22"/>
          <w:lang w:val="en-US"/>
        </w:rPr>
        <w:t xml:space="preserve">performed </w:t>
      </w:r>
      <w:r w:rsidR="00B5311E" w:rsidRPr="00032AD9">
        <w:rPr>
          <w:rFonts w:ascii="Times New Roman" w:hAnsi="Times New Roman" w:cs="Times New Roman"/>
          <w:sz w:val="22"/>
          <w:szCs w:val="22"/>
          <w:lang w:val="en-US"/>
        </w:rPr>
        <w:t xml:space="preserve">with the participation of </w:t>
      </w:r>
      <w:r w:rsidR="00364C82" w:rsidRPr="00032AD9">
        <w:rPr>
          <w:rFonts w:ascii="Times New Roman" w:hAnsi="Times New Roman" w:cs="Times New Roman"/>
          <w:sz w:val="22"/>
          <w:szCs w:val="22"/>
          <w:lang w:val="en-US"/>
        </w:rPr>
        <w:t>an</w:t>
      </w:r>
      <w:r w:rsidR="008B340E" w:rsidRPr="00032AD9">
        <w:rPr>
          <w:rFonts w:ascii="Times New Roman" w:hAnsi="Times New Roman" w:cs="Times New Roman"/>
          <w:sz w:val="22"/>
          <w:szCs w:val="22"/>
          <w:lang w:val="en-US"/>
        </w:rPr>
        <w:t xml:space="preserve"> experienced statistician.</w:t>
      </w:r>
    </w:p>
    <w:p w14:paraId="0CEC2E56" w14:textId="77777777" w:rsidR="00790E5B" w:rsidRPr="00032AD9" w:rsidRDefault="00790E5B" w:rsidP="00B55C3A">
      <w:pPr>
        <w:pStyle w:val="Odstavecseseznamem"/>
        <w:ind w:left="0" w:firstLine="709"/>
        <w:jc w:val="both"/>
        <w:rPr>
          <w:rFonts w:ascii="Times New Roman" w:hAnsi="Times New Roman" w:cs="Times New Roman"/>
          <w:sz w:val="22"/>
          <w:szCs w:val="22"/>
          <w:lang w:val="en-US"/>
        </w:rPr>
      </w:pPr>
    </w:p>
    <w:p w14:paraId="5BBA53E9" w14:textId="77777777" w:rsidR="00790E5B" w:rsidRPr="00032AD9" w:rsidRDefault="00790E5B" w:rsidP="00B55C3A">
      <w:pPr>
        <w:pStyle w:val="Odstavecseseznamem"/>
        <w:ind w:left="0" w:firstLine="709"/>
        <w:jc w:val="both"/>
        <w:rPr>
          <w:rFonts w:ascii="Times New Roman" w:hAnsi="Times New Roman" w:cs="Times New Roman"/>
          <w:sz w:val="22"/>
          <w:szCs w:val="22"/>
          <w:lang w:val="en-US"/>
        </w:rPr>
      </w:pPr>
    </w:p>
    <w:p w14:paraId="3646B12A" w14:textId="77777777" w:rsidR="002C446E" w:rsidRPr="00032AD9" w:rsidRDefault="002C446E" w:rsidP="00B55C3A">
      <w:pPr>
        <w:autoSpaceDE w:val="0"/>
        <w:autoSpaceDN w:val="0"/>
        <w:adjustRightInd w:val="0"/>
        <w:ind w:firstLine="709"/>
        <w:jc w:val="both"/>
        <w:rPr>
          <w:sz w:val="22"/>
          <w:szCs w:val="22"/>
          <w:lang w:val="en-US"/>
        </w:rPr>
      </w:pPr>
      <w:bookmarkStart w:id="0" w:name="_GoBack"/>
      <w:bookmarkEnd w:id="0"/>
    </w:p>
    <w:p w14:paraId="01BDE576" w14:textId="77777777" w:rsidR="006E225F" w:rsidRPr="00032AD9" w:rsidRDefault="006E225F" w:rsidP="00A847A8">
      <w:pPr>
        <w:ind w:firstLine="709"/>
        <w:jc w:val="both"/>
        <w:rPr>
          <w:b/>
          <w:sz w:val="22"/>
          <w:szCs w:val="22"/>
          <w:lang w:val="en-US"/>
        </w:rPr>
      </w:pPr>
    </w:p>
    <w:p w14:paraId="6D189597" w14:textId="77777777" w:rsidR="00017886" w:rsidRPr="00032AD9" w:rsidRDefault="005A4592" w:rsidP="00A847A8">
      <w:pPr>
        <w:ind w:firstLine="709"/>
        <w:jc w:val="both"/>
        <w:rPr>
          <w:b/>
          <w:sz w:val="22"/>
          <w:szCs w:val="22"/>
          <w:lang w:val="en-US"/>
        </w:rPr>
      </w:pPr>
      <w:r w:rsidRPr="00032AD9">
        <w:rPr>
          <w:b/>
          <w:sz w:val="22"/>
          <w:szCs w:val="22"/>
          <w:lang w:val="en-US"/>
        </w:rPr>
        <w:t>References</w:t>
      </w:r>
    </w:p>
    <w:p w14:paraId="632FA4C3"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Lakomý R, Fadrus P, Slampa P, Svoboda T, Kren L, Lzicarová E, et al. [Multimodal treatment of glioblastoma multiforme: results of 86 consecutive patients diagnosed in period 2003-2009]. Klin Onkol. 2011;24(2):112-20.</w:t>
      </w:r>
    </w:p>
    <w:p w14:paraId="35D0B4C4" w14:textId="77777777" w:rsidR="00F61FC9" w:rsidRPr="00032AD9" w:rsidRDefault="00F61FC9"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rPr>
        <w:t>Weller M, van den Bent M, Tonn JC, Stupp R, Preusser M, Cohen-Jonathan-Moyal E, et al. European Association for Neuro-Oncology (EANO) guideline on the diagnosisand treatment of adult astrocytic and oligodendroglial gliomas. Lancet Oncol. 2017 Jun;18(6):e315-e329. doi: 10.1016/S1470-2045(17)30194-8. Epub 2017 May 5</w:t>
      </w:r>
    </w:p>
    <w:p w14:paraId="22B39A92"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 xml:space="preserve">Kazda T, Dziacky A, Burkon P, Pospisil P, Slavik M, Rehak Z, et al. Radiotherapy of Glioblastoma 15 Years after the Landmark Stupp's Trial: More Controversies than Standards? Radiol Oncol. 2018 Jun 6;52(2):121-128. doi: 10.2478/raon-2018-0023. eCollection 2018 Jun. </w:t>
      </w:r>
    </w:p>
    <w:p w14:paraId="5F3DA4EF" w14:textId="77777777" w:rsidR="0083277F" w:rsidRPr="00032AD9" w:rsidRDefault="0083277F"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Blumenthal DT, Gorlia T, Gilbert MR, Kim MM, Burt Nabors L, Mason WP, et al. Is more better? The impact of extended adjuvant temozolomide in newly diagnosed glioblastoma: a secondary analysis of EORTC and NRG Oncology/RTOG. Neuro Oncol. 2017 Aug 1;19(8):1119-1126. doi: 10.1093/neuonc/nox025.</w:t>
      </w:r>
    </w:p>
    <w:p w14:paraId="5AED531E"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Stupp R, Taillibert S, Kanner A, Read W, Steinberg D, Lhermitte B, et al. Effect of Tumor-Treating Fields Plus Maintenance Temozolomide vs Maintenance Temozolomide Alone on Survival in Patients With Glioblastoma: A Randomized Clinical Trial. JAMA. 2017 Dec 19;318(23):2306-2316. doi: 10.1001/jama.2017.18718.</w:t>
      </w:r>
    </w:p>
    <w:p w14:paraId="5D9A8E1F" w14:textId="77777777" w:rsidR="0083277F" w:rsidRPr="00032AD9" w:rsidRDefault="0083277F"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Stupp R, Mason WP, van den Bent MJ, Weller M, Fisher B, Taphoorn MJ, et al. Radiotherapy plus concomitant and adjuvant temozolomide for glioblastoma. New Engl J Med. (2005) 352:987–96. doi: 10.1056/NEJMoa043330.</w:t>
      </w:r>
    </w:p>
    <w:p w14:paraId="0D4B2E81" w14:textId="77777777" w:rsidR="0083277F" w:rsidRPr="00032AD9" w:rsidRDefault="0083277F" w:rsidP="00A847A8">
      <w:pPr>
        <w:pStyle w:val="Odstavecseseznamem"/>
        <w:numPr>
          <w:ilvl w:val="0"/>
          <w:numId w:val="4"/>
        </w:numPr>
        <w:autoSpaceDE w:val="0"/>
        <w:autoSpaceDN w:val="0"/>
        <w:adjustRightInd w:val="0"/>
        <w:jc w:val="both"/>
        <w:rPr>
          <w:rFonts w:ascii="Times New Roman" w:hAnsi="Times New Roman" w:cs="Times New Roman"/>
          <w:sz w:val="22"/>
          <w:szCs w:val="22"/>
        </w:rPr>
      </w:pPr>
      <w:r w:rsidRPr="00032AD9">
        <w:rPr>
          <w:rFonts w:ascii="Times New Roman" w:hAnsi="Times New Roman" w:cs="Times New Roman"/>
          <w:sz w:val="22"/>
          <w:szCs w:val="22"/>
        </w:rPr>
        <w:t>Hegi ME, Diserens AC, Gorlia T, Hamou MF, de Tribolet N, Weller M, et al. MGMT gene silencing and benefit from temozolomide in glioblastoma. New Engl J Med. (2005) 352:997–1003. doi: 10.1056/NEJMoa043331.</w:t>
      </w:r>
    </w:p>
    <w:p w14:paraId="1843CC47" w14:textId="77777777" w:rsidR="00F61FC9" w:rsidRPr="00032AD9" w:rsidRDefault="00F61FC9"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Stupp R, Hegi ME, Mason WP, van den Bent MJ, Taphoorn MJB, Janzer RC, et al. Effects of radiotherapy with concomitant and adjuvant temozolomide versus radiotherapy alone on survival in glioblastoma in a randomised phase III study: 5-year analysis of the EORTC-NCIC trial. Lancet Oncol 2009;</w:t>
      </w:r>
      <w:r w:rsidRPr="00032AD9">
        <w:rPr>
          <w:rFonts w:ascii="Times New Roman" w:hAnsi="Times New Roman" w:cs="Times New Roman"/>
          <w:b/>
          <w:sz w:val="22"/>
          <w:szCs w:val="22"/>
        </w:rPr>
        <w:t>10:</w:t>
      </w:r>
      <w:r w:rsidRPr="00032AD9">
        <w:rPr>
          <w:rFonts w:ascii="Times New Roman" w:hAnsi="Times New Roman" w:cs="Times New Roman"/>
          <w:sz w:val="22"/>
          <w:szCs w:val="22"/>
        </w:rPr>
        <w:t>459–66. doi:10.1016/S1470-2045(09)70025-7.</w:t>
      </w:r>
    </w:p>
    <w:p w14:paraId="7C008938"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Farace P, Amelio D, Ricciardi GK, Zoccatelli G, Magon S, Pizzini F, et al. Early MRI changes in glioblastoma in the period between surgery and adjuvant therapy. J Neurooncol. 2013 Jan;111(2):177-85. doi: 10.1007/s11060-012-0997-y. Epub 2012 Dec 22.</w:t>
      </w:r>
    </w:p>
    <w:p w14:paraId="3B9D29D9"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lastRenderedPageBreak/>
        <w:t>Palmer JD, Bhamidipati D, Shukla G, Sharma D, Glass J, Kim L, et al. Rapid Early Tumor Progression is Prognostic in Glioblastoma Patients. Am J Clin Oncol. 2019 May;42(5):481-486. doi: 10.1097/COC.0000000000000537.</w:t>
      </w:r>
    </w:p>
    <w:p w14:paraId="175B3117" w14:textId="77777777" w:rsidR="00F61FC9" w:rsidRPr="00032AD9" w:rsidRDefault="00F61FC9" w:rsidP="00A847A8">
      <w:pPr>
        <w:pStyle w:val="Odstavecseseznamem"/>
        <w:numPr>
          <w:ilvl w:val="0"/>
          <w:numId w:val="4"/>
        </w:numPr>
        <w:autoSpaceDE w:val="0"/>
        <w:autoSpaceDN w:val="0"/>
        <w:adjustRightInd w:val="0"/>
        <w:spacing w:line="276" w:lineRule="auto"/>
        <w:jc w:val="both"/>
        <w:rPr>
          <w:rFonts w:ascii="Times New Roman" w:hAnsi="Times New Roman" w:cs="Times New Roman"/>
          <w:sz w:val="22"/>
          <w:szCs w:val="22"/>
        </w:rPr>
      </w:pPr>
      <w:r w:rsidRPr="00032AD9">
        <w:rPr>
          <w:rFonts w:ascii="Times New Roman" w:hAnsi="Times New Roman" w:cs="Times New Roman"/>
          <w:sz w:val="22"/>
          <w:szCs w:val="22"/>
        </w:rPr>
        <w:t>Pirzkall A, McGue C, Saraswathy S, Cha S, Liu R, Vandenberg S, et al. Tumor regrowth between surgery and initiation of adjuvant therapy in patients with newly diagnosed glioblastoma. Neuro-Oncol.</w:t>
      </w:r>
      <w:r w:rsidRPr="00032AD9">
        <w:rPr>
          <w:rFonts w:ascii="Times New Roman" w:hAnsi="Times New Roman" w:cs="Times New Roman"/>
          <w:sz w:val="22"/>
          <w:szCs w:val="22"/>
          <w:shd w:val="clear" w:color="auto" w:fill="FFFFFF"/>
        </w:rPr>
        <w:t xml:space="preserve"> 2009;11(6):842-52. doi: 10.1215/15228517-2009-005.</w:t>
      </w:r>
      <w:r w:rsidRPr="00032AD9">
        <w:rPr>
          <w:rFonts w:ascii="Times New Roman" w:hAnsi="Times New Roman" w:cs="Times New Roman"/>
          <w:sz w:val="22"/>
          <w:szCs w:val="22"/>
        </w:rPr>
        <w:t xml:space="preserve"> </w:t>
      </w:r>
    </w:p>
    <w:p w14:paraId="20770F3B" w14:textId="77777777" w:rsidR="00F61FC9" w:rsidRPr="00032AD9" w:rsidRDefault="00F61FC9" w:rsidP="00A847A8">
      <w:pPr>
        <w:pStyle w:val="Odstavecseseznamem"/>
        <w:numPr>
          <w:ilvl w:val="0"/>
          <w:numId w:val="4"/>
        </w:numPr>
        <w:shd w:val="clear" w:color="auto" w:fill="FFFFFF"/>
        <w:autoSpaceDE w:val="0"/>
        <w:autoSpaceDN w:val="0"/>
        <w:adjustRightInd w:val="0"/>
        <w:spacing w:before="120" w:after="120" w:line="276" w:lineRule="auto"/>
        <w:jc w:val="both"/>
        <w:rPr>
          <w:rFonts w:ascii="Times New Roman" w:hAnsi="Times New Roman" w:cs="Times New Roman"/>
          <w:sz w:val="22"/>
          <w:szCs w:val="22"/>
          <w:shd w:val="clear" w:color="auto" w:fill="FFFFFF"/>
        </w:rPr>
      </w:pPr>
      <w:r w:rsidRPr="00032AD9">
        <w:rPr>
          <w:rFonts w:ascii="Times New Roman" w:hAnsi="Times New Roman" w:cs="Times New Roman"/>
          <w:sz w:val="22"/>
          <w:szCs w:val="22"/>
        </w:rPr>
        <w:t xml:space="preserve">Wee CW, Kim E, Kim TM, Park CK, Kim JW, Choi SH, et al. Impact of interim progression during the surgery-to-radiotherapy interval and its predictors in glioblastoma treated with temozolomide-based radiochemotherapy. J Neurooncol. </w:t>
      </w:r>
      <w:r w:rsidRPr="00032AD9">
        <w:rPr>
          <w:rFonts w:ascii="Times New Roman" w:hAnsi="Times New Roman" w:cs="Times New Roman"/>
          <w:sz w:val="22"/>
          <w:szCs w:val="22"/>
          <w:shd w:val="clear" w:color="auto" w:fill="FFFFFF"/>
        </w:rPr>
        <w:t>2017 Aug;134(1):169-175. doi: 10.1007/s11060-017-2505-x. Epub 2017 May 25.</w:t>
      </w:r>
    </w:p>
    <w:p w14:paraId="1290160A" w14:textId="77777777" w:rsidR="00F61FC9" w:rsidRPr="00032AD9" w:rsidRDefault="00F61FC9" w:rsidP="00A847A8">
      <w:pPr>
        <w:pStyle w:val="Odstavecseseznamem"/>
        <w:numPr>
          <w:ilvl w:val="0"/>
          <w:numId w:val="4"/>
        </w:numPr>
        <w:shd w:val="clear" w:color="auto" w:fill="FFFFFF"/>
        <w:autoSpaceDE w:val="0"/>
        <w:autoSpaceDN w:val="0"/>
        <w:adjustRightInd w:val="0"/>
        <w:spacing w:before="120" w:after="120" w:line="276" w:lineRule="auto"/>
        <w:jc w:val="both"/>
        <w:rPr>
          <w:rFonts w:ascii="Times New Roman" w:hAnsi="Times New Roman" w:cs="Times New Roman"/>
          <w:sz w:val="22"/>
          <w:szCs w:val="22"/>
        </w:rPr>
      </w:pPr>
      <w:r w:rsidRPr="00032AD9">
        <w:rPr>
          <w:rFonts w:ascii="Times New Roman" w:hAnsi="Times New Roman" w:cs="Times New Roman"/>
          <w:sz w:val="22"/>
          <w:szCs w:val="22"/>
        </w:rPr>
        <w:t>Merkel A, Soeldner D, Wendl C, Urkan D, Kuramatsu JB, Seliger C, et al. Early postoperative tumor progression predicts clinical outcome in glioblastoma-implication for clinical trials. J Neurooncol. 2017 Apr;132(2):249-254. doi: 10.1007/s11060-016-2362-z. Epub 2017 Jan 18.</w:t>
      </w:r>
    </w:p>
    <w:p w14:paraId="3CAA3BAD" w14:textId="77777777" w:rsidR="00F61FC9" w:rsidRPr="00032AD9" w:rsidRDefault="00F61FC9" w:rsidP="00A847A8">
      <w:pPr>
        <w:pStyle w:val="Odstavecseseznamem"/>
        <w:numPr>
          <w:ilvl w:val="0"/>
          <w:numId w:val="4"/>
        </w:numPr>
        <w:shd w:val="clear" w:color="auto" w:fill="FFFFFF"/>
        <w:autoSpaceDE w:val="0"/>
        <w:autoSpaceDN w:val="0"/>
        <w:adjustRightInd w:val="0"/>
        <w:spacing w:before="120" w:after="120" w:line="276" w:lineRule="auto"/>
        <w:jc w:val="both"/>
        <w:rPr>
          <w:rFonts w:ascii="Times New Roman" w:hAnsi="Times New Roman" w:cs="Times New Roman"/>
          <w:sz w:val="22"/>
          <w:szCs w:val="22"/>
        </w:rPr>
      </w:pPr>
      <w:r w:rsidRPr="00032AD9">
        <w:rPr>
          <w:rFonts w:ascii="Times New Roman" w:hAnsi="Times New Roman" w:cs="Times New Roman"/>
          <w:sz w:val="22"/>
          <w:szCs w:val="22"/>
        </w:rPr>
        <w:t xml:space="preserve">Villanueva-Meyer JE, Han SJ, Cha S, Butowski NA. Early tumor growth between initial resection and radiotherapy of glioblastoma: incidence and impact on clinical outcomes. J Neurooncol. </w:t>
      </w:r>
      <w:r w:rsidRPr="00032AD9">
        <w:rPr>
          <w:rFonts w:ascii="Times New Roman" w:hAnsi="Times New Roman" w:cs="Times New Roman"/>
          <w:sz w:val="22"/>
          <w:szCs w:val="22"/>
          <w:shd w:val="clear" w:color="auto" w:fill="FFFFFF"/>
        </w:rPr>
        <w:t>2017 Aug;134(1):213-219. doi: 10.1007/s11060-017-2511-z. Epub 2017 May 31.</w:t>
      </w:r>
    </w:p>
    <w:p w14:paraId="69C01E9B" w14:textId="77777777" w:rsidR="00F61FC9" w:rsidRPr="00032AD9" w:rsidRDefault="00F61FC9"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lang w:val="en-US"/>
        </w:rPr>
        <w:t xml:space="preserve">Sana J, Hajduch M, Michalek J, Vyzula R, Slaby O. MicroRNAs and glioblastoma: Roles in core signalling pathways and potential clinical implications. Journal of Cellular and Molecular Medicine. 2011;15(8):1636-1644. </w:t>
      </w:r>
      <w:r w:rsidRPr="00032AD9">
        <w:rPr>
          <w:rFonts w:ascii="Times New Roman" w:hAnsi="Times New Roman" w:cs="Times New Roman"/>
          <w:sz w:val="22"/>
          <w:szCs w:val="22"/>
        </w:rPr>
        <w:t>doi: 10.1111/j.1582-4934.2011.01317.x</w:t>
      </w:r>
    </w:p>
    <w:p w14:paraId="0A631A72" w14:textId="77777777" w:rsidR="00F61FC9" w:rsidRPr="00032AD9" w:rsidRDefault="00F61FC9"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lang w:val="en-US"/>
        </w:rPr>
        <w:t xml:space="preserve">Ondracek J, Fadrus P, Sana J, Besse A, Loja T, Vecera M, et al. Global microRNA expression profiling identifies unique microrna pattern of radioresistant glioblastoma cells. Anticancer Research. 2017;37(3):1099-1104. </w:t>
      </w:r>
    </w:p>
    <w:p w14:paraId="16FA3DBD" w14:textId="77777777" w:rsidR="00F61FC9" w:rsidRPr="00032AD9" w:rsidRDefault="00F61FC9"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lang w:val="en-US"/>
        </w:rPr>
        <w:t>Kren L, Slaby O, Muckova K, Lzicarova E, Sova M, Vybihal V, Svoboda T, Fadrus P, Lakomy R, Vanhara P, Krenova Z, Sterba J, Smrcka M, Michalek J. Expression of immune-modulatory molecules HLA-G and HLA-E by tumor cells in glioblastomas: an unexpected prognostic significance? Neuropathology. 2011;31(2):129-34.</w:t>
      </w:r>
      <w:r w:rsidRPr="00032AD9">
        <w:rPr>
          <w:rFonts w:ascii="Times New Roman" w:hAnsi="Times New Roman" w:cs="Times New Roman"/>
          <w:sz w:val="22"/>
          <w:szCs w:val="22"/>
        </w:rPr>
        <w:t xml:space="preserve"> doi: 10.1111/j.1440-1789.2010.01149.x.</w:t>
      </w:r>
    </w:p>
    <w:p w14:paraId="191F4997" w14:textId="77777777" w:rsidR="006E225F" w:rsidRPr="00032AD9" w:rsidRDefault="006E225F" w:rsidP="006E225F">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lang w:val="en-US"/>
        </w:rPr>
        <w:t xml:space="preserve">Zhao H, Wang S, Song C, Zha Y, Li L. The prognostic value of MGMT promoter status by pyrosequencing assay for glioblastoma patients' survival: a meta-analysis. World J Surg Oncol. 2016;14(1):261. </w:t>
      </w:r>
    </w:p>
    <w:p w14:paraId="6056D5BC" w14:textId="77777777" w:rsidR="006E225F" w:rsidRPr="00032AD9" w:rsidRDefault="00BB5F91" w:rsidP="006E225F">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rPr>
        <w:t>Karsy M, Neil JA, Guan J, Mahan MA, Colman H, Jensen RL. A practical review of prognostic correlations of molecular biomarkers in glioblastoma. Neurosurg Focus. 2015 Mar;38(3):E4. doi: 10.3171/2015.1.FOCUS14755.</w:t>
      </w:r>
    </w:p>
    <w:p w14:paraId="7E5269C1" w14:textId="77777777" w:rsidR="00BB5F91" w:rsidRPr="00032AD9" w:rsidRDefault="00BB5F91"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rPr>
        <w:t>Piwecka M, Rolle K, Belter A, Barciszewska AM, Żywicki M, Michalak M, et al. Comprehensive analysis of microRNA expression profile in malignant glioma tissues. Mol Oncol. 2015 Aug;9(7):1324-40. doi: 10.1016/j.molonc.2015.03.007. Epub 2015 Mar 25.</w:t>
      </w:r>
    </w:p>
    <w:p w14:paraId="3AB016DC" w14:textId="77777777" w:rsidR="006E225F" w:rsidRPr="00032AD9" w:rsidRDefault="00BB5F91" w:rsidP="00A847A8">
      <w:pPr>
        <w:pStyle w:val="Odstavecseseznamem"/>
        <w:numPr>
          <w:ilvl w:val="0"/>
          <w:numId w:val="4"/>
        </w:numPr>
        <w:jc w:val="both"/>
        <w:rPr>
          <w:rFonts w:ascii="Times New Roman" w:hAnsi="Times New Roman" w:cs="Times New Roman"/>
          <w:sz w:val="22"/>
          <w:szCs w:val="22"/>
          <w:lang w:val="en-US"/>
        </w:rPr>
      </w:pPr>
      <w:r w:rsidRPr="00032AD9">
        <w:rPr>
          <w:rFonts w:ascii="Times New Roman" w:hAnsi="Times New Roman" w:cs="Times New Roman"/>
          <w:sz w:val="22"/>
          <w:szCs w:val="22"/>
        </w:rPr>
        <w:t>Lakomy R, Sana J, Hankeova S, Fadrus P, Kren L, Lzicarova E, et al. MiR-195, miR-196b, miR-181c, miR-21 expression levels and O-6-methylguanine-DNA methyltransferase methylation status are associated with clinical outcome in glioblastoma patients. Cancer Sci. 2011 Dec;102(12):2186-90. doi: 10.1111/j.1349-7006.2011.02092.x. Epub 2011 Oct 12.</w:t>
      </w:r>
    </w:p>
    <w:p w14:paraId="1069D89B"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Katsanos AH, Alexiou GA, Fotopoulos AD, Jabbour P, Kyritsis AP, Sioka C. Performance of 18F-FDG, 11C-Methionine, and 18F-FET PET for Glioma Grading: A Meta-analysis. Clin Nucl Med. 2019 Jun 13. doi: 10.1097/RLU.0000000000002654. [Epub ahead of print].</w:t>
      </w:r>
    </w:p>
    <w:p w14:paraId="47A76E40"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Glaudemans AW, Enting RH, Heesters MA, Dierckx RA, van Rheenen RW, Walenkamp AM, et al. Value of 11C-methionine PET in imaging brain tumours and metastases. Eur J Nucl Med Mol Imaging. 2013 Apr;40(4):615-35. doi: 10.1007/s00259-012-2295-5. Epub 2012 Dec 12.</w:t>
      </w:r>
    </w:p>
    <w:p w14:paraId="7D3D7313"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Demlova R, Melicharkova K, Rehak Z, Kren L, Oslejskova H, Sterba J. Successful use of metronomic vinblastine and fluorothymidine pet imaging for the management of intramedullary spinal cord anaplastic oligoastrocytoma in a child. Curr Oncol. 2014 Dec;21(6):e790-3. doi: 10.3747/co.21.2147.</w:t>
      </w:r>
    </w:p>
    <w:p w14:paraId="39749A56"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Grosu AL, Weber WA, Riedel E, Jeremic B, Nieder C, Franz M, et al. L-(methyl-11C) methionine positron emission tomography for target delineation in resected high-grade gliomas before radiotherapy. Int J Radiat Oncol Biol Phys. 2005 Sep 1;63(1):64-74.</w:t>
      </w:r>
    </w:p>
    <w:p w14:paraId="4951A797"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lastRenderedPageBreak/>
        <w:t>Matsuo M, Miwa K, Tanaka O, Shinoda J, Nishibori H, Tsuge Y, et al. Impact of [11C]methionine positron emission tomography for target definition of glioblastoma multiforme in radiation therapy planning. Int J Radiat Oncol Biol Phys. 2012 Jan 1;82(1):83-9. doi: 10.1016/j.ijrobp.2010.09.020. Epub 2010 Nov 20.</w:t>
      </w:r>
    </w:p>
    <w:p w14:paraId="5C97173B" w14:textId="77777777" w:rsidR="00F61FC9" w:rsidRPr="00032AD9" w:rsidRDefault="00F61FC9"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Vašina J, Svoboda M, Lakomý R, Kazda T, Adam J, Řehák Z. Assessment of 11C-methionine for PET/CT examination of patients with a brain tumor – group of 16 patients. NuklMed  2018; 7(4):62-67</w:t>
      </w:r>
      <w:r w:rsidR="00B125D3" w:rsidRPr="00032AD9">
        <w:rPr>
          <w:rFonts w:ascii="Times New Roman" w:hAnsi="Times New Roman" w:cs="Times New Roman"/>
          <w:sz w:val="22"/>
          <w:szCs w:val="22"/>
        </w:rPr>
        <w:t>.</w:t>
      </w:r>
    </w:p>
    <w:p w14:paraId="2B63284C" w14:textId="77777777" w:rsidR="00F61FC9" w:rsidRPr="00032AD9" w:rsidRDefault="00F61FC9" w:rsidP="00A847A8">
      <w:pPr>
        <w:pStyle w:val="Odstavecseseznamem"/>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Kracht LW, Miletic H, Busch S, Jacobs AH, Voges J, Hoevels M, et al. Delineation of brain tumor extent with [11C]L-methionine positron emission tomography: local comparison with stereotactic histopathology. Clin Cancer Res. 2004 Nov 1;10(21):7163-70.</w:t>
      </w:r>
    </w:p>
    <w:p w14:paraId="160DBABD" w14:textId="77777777" w:rsidR="00F61FC9" w:rsidRPr="00032AD9" w:rsidRDefault="00F61FC9"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Lilja A, Bergström K, Hartvig P, Spännare B, Halldin C, Lundqvist H, et al. Dynamic study of supratentorial gliomas with L-methyl-11C-methionine and positron emission tomography. AJNR Am J Neuroradiol. 1985 Jul-Aug;6(4):505-14.</w:t>
      </w:r>
    </w:p>
    <w:p w14:paraId="27C190F2" w14:textId="200B9F5F" w:rsidR="00F61FC9" w:rsidRPr="00032AD9" w:rsidRDefault="00F61FC9" w:rsidP="00A847A8">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Hatazawa J, Ishiwata K, Itoh M, Kameyama M, Kubota K, Ido T, et al. Quantitative evaluation of L-[methyl-C-11] methionine uptake in tumor using positron emission tomography. Nucl Med. 1989 Nov;30(11):1809-13.</w:t>
      </w:r>
    </w:p>
    <w:p w14:paraId="666BE59E" w14:textId="56B044C2" w:rsidR="00740EED" w:rsidRPr="00032AD9" w:rsidRDefault="00740EED" w:rsidP="00BC0514">
      <w:pPr>
        <w:pStyle w:val="Textkomente"/>
        <w:numPr>
          <w:ilvl w:val="0"/>
          <w:numId w:val="4"/>
        </w:numPr>
        <w:jc w:val="both"/>
        <w:rPr>
          <w:rFonts w:ascii="Times New Roman" w:hAnsi="Times New Roman" w:cs="Times New Roman"/>
          <w:sz w:val="22"/>
          <w:szCs w:val="22"/>
        </w:rPr>
      </w:pPr>
      <w:r w:rsidRPr="00032AD9">
        <w:rPr>
          <w:rFonts w:ascii="Times New Roman" w:hAnsi="Times New Roman" w:cs="Times New Roman"/>
          <w:sz w:val="22"/>
          <w:szCs w:val="22"/>
        </w:rPr>
        <w:t>Perry JR, Laperriere N, O'Callaghan CJ, et al. Short-Course Radiation plus Temozolomide in Elderly Patients with Glioblastoma. N Engl J Med. 2017 Mar 16;376(11):1027-1037. doi: 10.1056/NEJMoa1611977.</w:t>
      </w:r>
    </w:p>
    <w:sectPr w:rsidR="00740EED" w:rsidRPr="00032AD9" w:rsidSect="005A4592">
      <w:pgSz w:w="11900" w:h="16840"/>
      <w:pgMar w:top="1417" w:right="126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0142"/>
    <w:multiLevelType w:val="hybridMultilevel"/>
    <w:tmpl w:val="037E4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FD07F2"/>
    <w:multiLevelType w:val="hybridMultilevel"/>
    <w:tmpl w:val="037E4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9F3482C"/>
    <w:multiLevelType w:val="hybridMultilevel"/>
    <w:tmpl w:val="464C382E"/>
    <w:lvl w:ilvl="0" w:tplc="04050011">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53150688"/>
    <w:multiLevelType w:val="hybridMultilevel"/>
    <w:tmpl w:val="037E4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3A24087"/>
    <w:multiLevelType w:val="hybridMultilevel"/>
    <w:tmpl w:val="037E49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2844076"/>
    <w:multiLevelType w:val="hybridMultilevel"/>
    <w:tmpl w:val="ABA0A380"/>
    <w:lvl w:ilvl="0" w:tplc="380A2160">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6">
    <w:nsid w:val="6DB932A8"/>
    <w:multiLevelType w:val="hybridMultilevel"/>
    <w:tmpl w:val="22F0DBCE"/>
    <w:lvl w:ilvl="0" w:tplc="0BBC6E2C">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nsid w:val="70B23C27"/>
    <w:multiLevelType w:val="hybridMultilevel"/>
    <w:tmpl w:val="43AEF5B2"/>
    <w:lvl w:ilvl="0" w:tplc="B58EA780">
      <w:start w:val="1"/>
      <w:numFmt w:val="decimal"/>
      <w:lvlText w:val="%1)"/>
      <w:lvlJc w:val="left"/>
      <w:pPr>
        <w:ind w:left="0" w:hanging="360"/>
      </w:pPr>
      <w:rPr>
        <w:rFonts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8">
    <w:nsid w:val="719F25C9"/>
    <w:multiLevelType w:val="hybridMultilevel"/>
    <w:tmpl w:val="2612FF44"/>
    <w:lvl w:ilvl="0" w:tplc="AC4C5C6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6"/>
  </w:num>
  <w:num w:numId="2">
    <w:abstractNumId w:val="7"/>
  </w:num>
  <w:num w:numId="3">
    <w:abstractNumId w:val="5"/>
  </w:num>
  <w:num w:numId="4">
    <w:abstractNumId w:val="8"/>
  </w:num>
  <w:num w:numId="5">
    <w:abstractNumId w:val="2"/>
  </w:num>
  <w:num w:numId="6">
    <w:abstractNumId w:val="0"/>
  </w:num>
  <w:num w:numId="7">
    <w:abstractNumId w:val="4"/>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B63443"/>
    <w:rsid w:val="000061B8"/>
    <w:rsid w:val="000070E0"/>
    <w:rsid w:val="00011A4C"/>
    <w:rsid w:val="0001749D"/>
    <w:rsid w:val="00017886"/>
    <w:rsid w:val="000208A1"/>
    <w:rsid w:val="00032AD9"/>
    <w:rsid w:val="0003434F"/>
    <w:rsid w:val="0003722D"/>
    <w:rsid w:val="00041B83"/>
    <w:rsid w:val="00044844"/>
    <w:rsid w:val="0004520D"/>
    <w:rsid w:val="0004591C"/>
    <w:rsid w:val="00046D29"/>
    <w:rsid w:val="00050D26"/>
    <w:rsid w:val="00053FEC"/>
    <w:rsid w:val="00055333"/>
    <w:rsid w:val="00055B8A"/>
    <w:rsid w:val="00055EAA"/>
    <w:rsid w:val="000644D3"/>
    <w:rsid w:val="00065789"/>
    <w:rsid w:val="00066A45"/>
    <w:rsid w:val="0006719C"/>
    <w:rsid w:val="0006737C"/>
    <w:rsid w:val="00073F61"/>
    <w:rsid w:val="000742D1"/>
    <w:rsid w:val="00074692"/>
    <w:rsid w:val="000779FD"/>
    <w:rsid w:val="00077BFE"/>
    <w:rsid w:val="000815ED"/>
    <w:rsid w:val="00084623"/>
    <w:rsid w:val="0008593D"/>
    <w:rsid w:val="00087F97"/>
    <w:rsid w:val="00092055"/>
    <w:rsid w:val="000929D7"/>
    <w:rsid w:val="00092E86"/>
    <w:rsid w:val="0009442F"/>
    <w:rsid w:val="00096607"/>
    <w:rsid w:val="0009679D"/>
    <w:rsid w:val="0009756E"/>
    <w:rsid w:val="000979EA"/>
    <w:rsid w:val="000A0183"/>
    <w:rsid w:val="000A19FF"/>
    <w:rsid w:val="000A1E72"/>
    <w:rsid w:val="000A3A45"/>
    <w:rsid w:val="000A644B"/>
    <w:rsid w:val="000B393D"/>
    <w:rsid w:val="000B6454"/>
    <w:rsid w:val="000C07EF"/>
    <w:rsid w:val="000C273E"/>
    <w:rsid w:val="000C413B"/>
    <w:rsid w:val="000C63D8"/>
    <w:rsid w:val="000C70E2"/>
    <w:rsid w:val="000D7BC5"/>
    <w:rsid w:val="000E34B1"/>
    <w:rsid w:val="000E5956"/>
    <w:rsid w:val="000F6120"/>
    <w:rsid w:val="00101C58"/>
    <w:rsid w:val="0010567F"/>
    <w:rsid w:val="0010593D"/>
    <w:rsid w:val="0010600F"/>
    <w:rsid w:val="00107A05"/>
    <w:rsid w:val="00111A4B"/>
    <w:rsid w:val="00111E04"/>
    <w:rsid w:val="0011300C"/>
    <w:rsid w:val="00113F2D"/>
    <w:rsid w:val="00114345"/>
    <w:rsid w:val="001151A0"/>
    <w:rsid w:val="00117E64"/>
    <w:rsid w:val="00122CD3"/>
    <w:rsid w:val="00125000"/>
    <w:rsid w:val="00135F04"/>
    <w:rsid w:val="001436A4"/>
    <w:rsid w:val="0014399B"/>
    <w:rsid w:val="0014595C"/>
    <w:rsid w:val="001476AF"/>
    <w:rsid w:val="001519BC"/>
    <w:rsid w:val="0016605B"/>
    <w:rsid w:val="001713D3"/>
    <w:rsid w:val="00177C66"/>
    <w:rsid w:val="00181BA1"/>
    <w:rsid w:val="00182AE8"/>
    <w:rsid w:val="00184A59"/>
    <w:rsid w:val="00192239"/>
    <w:rsid w:val="001928C9"/>
    <w:rsid w:val="00192A34"/>
    <w:rsid w:val="00194275"/>
    <w:rsid w:val="001947D1"/>
    <w:rsid w:val="001A3EA9"/>
    <w:rsid w:val="001A5952"/>
    <w:rsid w:val="001B295F"/>
    <w:rsid w:val="001B4737"/>
    <w:rsid w:val="001B7DB6"/>
    <w:rsid w:val="001C0CFA"/>
    <w:rsid w:val="001C1521"/>
    <w:rsid w:val="001C2B35"/>
    <w:rsid w:val="001C7486"/>
    <w:rsid w:val="001D06EA"/>
    <w:rsid w:val="001D0FF3"/>
    <w:rsid w:val="001D4245"/>
    <w:rsid w:val="001D548C"/>
    <w:rsid w:val="001D6805"/>
    <w:rsid w:val="001E2424"/>
    <w:rsid w:val="001E638F"/>
    <w:rsid w:val="001E6605"/>
    <w:rsid w:val="001F2D0D"/>
    <w:rsid w:val="002045E0"/>
    <w:rsid w:val="00205938"/>
    <w:rsid w:val="002073E7"/>
    <w:rsid w:val="00207444"/>
    <w:rsid w:val="00214AB0"/>
    <w:rsid w:val="00221802"/>
    <w:rsid w:val="00222144"/>
    <w:rsid w:val="00234BB7"/>
    <w:rsid w:val="00235349"/>
    <w:rsid w:val="0023541C"/>
    <w:rsid w:val="00236EBC"/>
    <w:rsid w:val="00240691"/>
    <w:rsid w:val="002431B4"/>
    <w:rsid w:val="00246539"/>
    <w:rsid w:val="00255CD4"/>
    <w:rsid w:val="002574C8"/>
    <w:rsid w:val="00263304"/>
    <w:rsid w:val="00263D34"/>
    <w:rsid w:val="002805B3"/>
    <w:rsid w:val="002837E4"/>
    <w:rsid w:val="00284EB3"/>
    <w:rsid w:val="002851D3"/>
    <w:rsid w:val="0028573E"/>
    <w:rsid w:val="002868E8"/>
    <w:rsid w:val="002940F7"/>
    <w:rsid w:val="0029427E"/>
    <w:rsid w:val="002973CC"/>
    <w:rsid w:val="00297630"/>
    <w:rsid w:val="002A08F3"/>
    <w:rsid w:val="002A357C"/>
    <w:rsid w:val="002A680E"/>
    <w:rsid w:val="002B2D8E"/>
    <w:rsid w:val="002B396F"/>
    <w:rsid w:val="002B3F28"/>
    <w:rsid w:val="002B6B7E"/>
    <w:rsid w:val="002C357D"/>
    <w:rsid w:val="002C446E"/>
    <w:rsid w:val="002C4689"/>
    <w:rsid w:val="002E13B8"/>
    <w:rsid w:val="002E1C20"/>
    <w:rsid w:val="002E3859"/>
    <w:rsid w:val="002E5202"/>
    <w:rsid w:val="002E6D1D"/>
    <w:rsid w:val="002F192E"/>
    <w:rsid w:val="002F3CD9"/>
    <w:rsid w:val="002F5C50"/>
    <w:rsid w:val="003006BF"/>
    <w:rsid w:val="003007CD"/>
    <w:rsid w:val="00302253"/>
    <w:rsid w:val="00302BEC"/>
    <w:rsid w:val="00314395"/>
    <w:rsid w:val="0031591B"/>
    <w:rsid w:val="00315EC2"/>
    <w:rsid w:val="00317A0D"/>
    <w:rsid w:val="0032520B"/>
    <w:rsid w:val="00330AEB"/>
    <w:rsid w:val="00335D4C"/>
    <w:rsid w:val="00341CA4"/>
    <w:rsid w:val="00342912"/>
    <w:rsid w:val="00342FAE"/>
    <w:rsid w:val="00345553"/>
    <w:rsid w:val="00345EA6"/>
    <w:rsid w:val="003467FB"/>
    <w:rsid w:val="003537EE"/>
    <w:rsid w:val="00353BF9"/>
    <w:rsid w:val="003622C2"/>
    <w:rsid w:val="00364C82"/>
    <w:rsid w:val="0036739F"/>
    <w:rsid w:val="00372661"/>
    <w:rsid w:val="00373F64"/>
    <w:rsid w:val="00374E39"/>
    <w:rsid w:val="003766BE"/>
    <w:rsid w:val="003813F5"/>
    <w:rsid w:val="00383FF7"/>
    <w:rsid w:val="003846F8"/>
    <w:rsid w:val="00392A63"/>
    <w:rsid w:val="00394DCF"/>
    <w:rsid w:val="00395DF6"/>
    <w:rsid w:val="003A1461"/>
    <w:rsid w:val="003A3A7A"/>
    <w:rsid w:val="003B57CA"/>
    <w:rsid w:val="003C0EC4"/>
    <w:rsid w:val="003C2C2E"/>
    <w:rsid w:val="003C7BEF"/>
    <w:rsid w:val="003D174D"/>
    <w:rsid w:val="003D5B94"/>
    <w:rsid w:val="003E0855"/>
    <w:rsid w:val="003E4E50"/>
    <w:rsid w:val="003E5F90"/>
    <w:rsid w:val="003F64F7"/>
    <w:rsid w:val="00400495"/>
    <w:rsid w:val="00401727"/>
    <w:rsid w:val="004043BE"/>
    <w:rsid w:val="00412F2F"/>
    <w:rsid w:val="00427F35"/>
    <w:rsid w:val="00432F1F"/>
    <w:rsid w:val="00437022"/>
    <w:rsid w:val="00437F01"/>
    <w:rsid w:val="004409C1"/>
    <w:rsid w:val="0044341E"/>
    <w:rsid w:val="00444A86"/>
    <w:rsid w:val="00445E36"/>
    <w:rsid w:val="00447B8D"/>
    <w:rsid w:val="00453840"/>
    <w:rsid w:val="004629BF"/>
    <w:rsid w:val="00462FDB"/>
    <w:rsid w:val="004674AC"/>
    <w:rsid w:val="00470561"/>
    <w:rsid w:val="0047577D"/>
    <w:rsid w:val="0048631A"/>
    <w:rsid w:val="0049045B"/>
    <w:rsid w:val="00494613"/>
    <w:rsid w:val="004A6F2B"/>
    <w:rsid w:val="004B2D30"/>
    <w:rsid w:val="004C143F"/>
    <w:rsid w:val="004C1E05"/>
    <w:rsid w:val="004C23D1"/>
    <w:rsid w:val="004C27BD"/>
    <w:rsid w:val="004C34B4"/>
    <w:rsid w:val="004C5140"/>
    <w:rsid w:val="004D0B19"/>
    <w:rsid w:val="004D273E"/>
    <w:rsid w:val="004E7AEB"/>
    <w:rsid w:val="005009F2"/>
    <w:rsid w:val="00501048"/>
    <w:rsid w:val="00502CFC"/>
    <w:rsid w:val="00505D69"/>
    <w:rsid w:val="005063AF"/>
    <w:rsid w:val="00507B69"/>
    <w:rsid w:val="00511DD5"/>
    <w:rsid w:val="00512FFE"/>
    <w:rsid w:val="00520C6F"/>
    <w:rsid w:val="005236F3"/>
    <w:rsid w:val="00531BFB"/>
    <w:rsid w:val="005322C4"/>
    <w:rsid w:val="00540B55"/>
    <w:rsid w:val="00540BE4"/>
    <w:rsid w:val="00545B6C"/>
    <w:rsid w:val="005479B1"/>
    <w:rsid w:val="005513BC"/>
    <w:rsid w:val="00551E4E"/>
    <w:rsid w:val="00557A3E"/>
    <w:rsid w:val="00561DA4"/>
    <w:rsid w:val="00564787"/>
    <w:rsid w:val="00564D62"/>
    <w:rsid w:val="00564E8A"/>
    <w:rsid w:val="005667D5"/>
    <w:rsid w:val="0057692C"/>
    <w:rsid w:val="005811AF"/>
    <w:rsid w:val="00581FE5"/>
    <w:rsid w:val="00595081"/>
    <w:rsid w:val="005A06E0"/>
    <w:rsid w:val="005A2DB7"/>
    <w:rsid w:val="005A2EE3"/>
    <w:rsid w:val="005A4592"/>
    <w:rsid w:val="005B67A4"/>
    <w:rsid w:val="005C0D14"/>
    <w:rsid w:val="005C2F63"/>
    <w:rsid w:val="005C393A"/>
    <w:rsid w:val="005C7742"/>
    <w:rsid w:val="005D38FF"/>
    <w:rsid w:val="005D3A72"/>
    <w:rsid w:val="005D423C"/>
    <w:rsid w:val="005D6391"/>
    <w:rsid w:val="005D7534"/>
    <w:rsid w:val="005F3258"/>
    <w:rsid w:val="005F3316"/>
    <w:rsid w:val="005F56AF"/>
    <w:rsid w:val="005F5FAE"/>
    <w:rsid w:val="006011B8"/>
    <w:rsid w:val="006029C3"/>
    <w:rsid w:val="00602D17"/>
    <w:rsid w:val="006103F8"/>
    <w:rsid w:val="006148C3"/>
    <w:rsid w:val="006301CF"/>
    <w:rsid w:val="00630E43"/>
    <w:rsid w:val="00632B5F"/>
    <w:rsid w:val="006371AF"/>
    <w:rsid w:val="00651269"/>
    <w:rsid w:val="00657F77"/>
    <w:rsid w:val="006701DB"/>
    <w:rsid w:val="00672461"/>
    <w:rsid w:val="00672FBD"/>
    <w:rsid w:val="006742A5"/>
    <w:rsid w:val="00674336"/>
    <w:rsid w:val="00674AE4"/>
    <w:rsid w:val="0067550A"/>
    <w:rsid w:val="00682001"/>
    <w:rsid w:val="00683B19"/>
    <w:rsid w:val="00685ED0"/>
    <w:rsid w:val="00690514"/>
    <w:rsid w:val="006929FF"/>
    <w:rsid w:val="0069797F"/>
    <w:rsid w:val="006A0620"/>
    <w:rsid w:val="006A7484"/>
    <w:rsid w:val="006B2091"/>
    <w:rsid w:val="006B398D"/>
    <w:rsid w:val="006C3C10"/>
    <w:rsid w:val="006C3DF7"/>
    <w:rsid w:val="006C5706"/>
    <w:rsid w:val="006D16ED"/>
    <w:rsid w:val="006D76C3"/>
    <w:rsid w:val="006E2179"/>
    <w:rsid w:val="006E225F"/>
    <w:rsid w:val="006E2BE0"/>
    <w:rsid w:val="006F3A92"/>
    <w:rsid w:val="00701FD3"/>
    <w:rsid w:val="00702045"/>
    <w:rsid w:val="00702B45"/>
    <w:rsid w:val="00703E48"/>
    <w:rsid w:val="0070432F"/>
    <w:rsid w:val="00704817"/>
    <w:rsid w:val="0070691F"/>
    <w:rsid w:val="00712065"/>
    <w:rsid w:val="00712632"/>
    <w:rsid w:val="00717943"/>
    <w:rsid w:val="00721EC9"/>
    <w:rsid w:val="007227A2"/>
    <w:rsid w:val="007269DB"/>
    <w:rsid w:val="007322D7"/>
    <w:rsid w:val="007324F8"/>
    <w:rsid w:val="0073757B"/>
    <w:rsid w:val="00740277"/>
    <w:rsid w:val="00740EED"/>
    <w:rsid w:val="0074245D"/>
    <w:rsid w:val="00744844"/>
    <w:rsid w:val="00752D90"/>
    <w:rsid w:val="007546DC"/>
    <w:rsid w:val="0075611E"/>
    <w:rsid w:val="00756E62"/>
    <w:rsid w:val="00757D79"/>
    <w:rsid w:val="0076143E"/>
    <w:rsid w:val="00762F7C"/>
    <w:rsid w:val="0077017D"/>
    <w:rsid w:val="00777E66"/>
    <w:rsid w:val="00785223"/>
    <w:rsid w:val="0078651A"/>
    <w:rsid w:val="00790E5B"/>
    <w:rsid w:val="007942DA"/>
    <w:rsid w:val="00794B99"/>
    <w:rsid w:val="00795AA1"/>
    <w:rsid w:val="007976F0"/>
    <w:rsid w:val="007977A2"/>
    <w:rsid w:val="007A0507"/>
    <w:rsid w:val="007A0F83"/>
    <w:rsid w:val="007A59EB"/>
    <w:rsid w:val="007A725E"/>
    <w:rsid w:val="007B0A8A"/>
    <w:rsid w:val="007C2344"/>
    <w:rsid w:val="007C61BF"/>
    <w:rsid w:val="007D150B"/>
    <w:rsid w:val="007D27A3"/>
    <w:rsid w:val="007D5E1C"/>
    <w:rsid w:val="007E599B"/>
    <w:rsid w:val="007F1251"/>
    <w:rsid w:val="007F19C8"/>
    <w:rsid w:val="007F2193"/>
    <w:rsid w:val="007F2F22"/>
    <w:rsid w:val="008021D6"/>
    <w:rsid w:val="00802DE9"/>
    <w:rsid w:val="00805CB1"/>
    <w:rsid w:val="008151AD"/>
    <w:rsid w:val="00820544"/>
    <w:rsid w:val="00821E75"/>
    <w:rsid w:val="0083277F"/>
    <w:rsid w:val="00836685"/>
    <w:rsid w:val="00844F15"/>
    <w:rsid w:val="00853B2F"/>
    <w:rsid w:val="008550CC"/>
    <w:rsid w:val="008558EF"/>
    <w:rsid w:val="00855F22"/>
    <w:rsid w:val="00864D2A"/>
    <w:rsid w:val="008703E4"/>
    <w:rsid w:val="008763D2"/>
    <w:rsid w:val="00881C00"/>
    <w:rsid w:val="00886A13"/>
    <w:rsid w:val="00887A02"/>
    <w:rsid w:val="00895571"/>
    <w:rsid w:val="0089632B"/>
    <w:rsid w:val="008977C5"/>
    <w:rsid w:val="008A1CF2"/>
    <w:rsid w:val="008A4CA4"/>
    <w:rsid w:val="008A5068"/>
    <w:rsid w:val="008B340E"/>
    <w:rsid w:val="008B402A"/>
    <w:rsid w:val="008B475B"/>
    <w:rsid w:val="008C0B3D"/>
    <w:rsid w:val="008C1A1D"/>
    <w:rsid w:val="008D030F"/>
    <w:rsid w:val="008D0421"/>
    <w:rsid w:val="008D043F"/>
    <w:rsid w:val="008D05DB"/>
    <w:rsid w:val="008D11DF"/>
    <w:rsid w:val="008D45E1"/>
    <w:rsid w:val="008D6086"/>
    <w:rsid w:val="008E0E8C"/>
    <w:rsid w:val="008E45FD"/>
    <w:rsid w:val="008E6C52"/>
    <w:rsid w:val="008F2DAC"/>
    <w:rsid w:val="008F32D9"/>
    <w:rsid w:val="008F338A"/>
    <w:rsid w:val="008F4BED"/>
    <w:rsid w:val="00902241"/>
    <w:rsid w:val="00904CB2"/>
    <w:rsid w:val="009120F6"/>
    <w:rsid w:val="0091499E"/>
    <w:rsid w:val="00915577"/>
    <w:rsid w:val="00917BFB"/>
    <w:rsid w:val="009219DA"/>
    <w:rsid w:val="0092353D"/>
    <w:rsid w:val="00932F52"/>
    <w:rsid w:val="00933322"/>
    <w:rsid w:val="00934EC4"/>
    <w:rsid w:val="00936017"/>
    <w:rsid w:val="009364A5"/>
    <w:rsid w:val="00940934"/>
    <w:rsid w:val="00943595"/>
    <w:rsid w:val="00957A3A"/>
    <w:rsid w:val="00967083"/>
    <w:rsid w:val="009714A3"/>
    <w:rsid w:val="009716CE"/>
    <w:rsid w:val="00973084"/>
    <w:rsid w:val="0097557F"/>
    <w:rsid w:val="0098081F"/>
    <w:rsid w:val="00980F06"/>
    <w:rsid w:val="0098400A"/>
    <w:rsid w:val="00992227"/>
    <w:rsid w:val="00994B40"/>
    <w:rsid w:val="00996700"/>
    <w:rsid w:val="009A1D2B"/>
    <w:rsid w:val="009A264E"/>
    <w:rsid w:val="009A756B"/>
    <w:rsid w:val="009B335C"/>
    <w:rsid w:val="009B355A"/>
    <w:rsid w:val="009B4341"/>
    <w:rsid w:val="009B4E5E"/>
    <w:rsid w:val="009B6507"/>
    <w:rsid w:val="009C0432"/>
    <w:rsid w:val="009C417A"/>
    <w:rsid w:val="009D0124"/>
    <w:rsid w:val="009D03D5"/>
    <w:rsid w:val="009D0E77"/>
    <w:rsid w:val="009D3BA8"/>
    <w:rsid w:val="009D3D1C"/>
    <w:rsid w:val="009E3913"/>
    <w:rsid w:val="009E42F1"/>
    <w:rsid w:val="009E7811"/>
    <w:rsid w:val="009F191D"/>
    <w:rsid w:val="009F7789"/>
    <w:rsid w:val="00A00C54"/>
    <w:rsid w:val="00A02DDB"/>
    <w:rsid w:val="00A03328"/>
    <w:rsid w:val="00A0387F"/>
    <w:rsid w:val="00A041F4"/>
    <w:rsid w:val="00A06E1C"/>
    <w:rsid w:val="00A15CF4"/>
    <w:rsid w:val="00A167F5"/>
    <w:rsid w:val="00A2220F"/>
    <w:rsid w:val="00A26AC4"/>
    <w:rsid w:val="00A307C2"/>
    <w:rsid w:val="00A45EFF"/>
    <w:rsid w:val="00A47C50"/>
    <w:rsid w:val="00A53FB6"/>
    <w:rsid w:val="00A63684"/>
    <w:rsid w:val="00A6448C"/>
    <w:rsid w:val="00A6639D"/>
    <w:rsid w:val="00A67B2F"/>
    <w:rsid w:val="00A75A86"/>
    <w:rsid w:val="00A77B9D"/>
    <w:rsid w:val="00A847A8"/>
    <w:rsid w:val="00A85547"/>
    <w:rsid w:val="00A9189B"/>
    <w:rsid w:val="00A91F84"/>
    <w:rsid w:val="00A95CB4"/>
    <w:rsid w:val="00A97343"/>
    <w:rsid w:val="00AA3039"/>
    <w:rsid w:val="00AA3A3D"/>
    <w:rsid w:val="00AA5BEC"/>
    <w:rsid w:val="00AB4E3C"/>
    <w:rsid w:val="00AB6191"/>
    <w:rsid w:val="00AC0854"/>
    <w:rsid w:val="00AC2D18"/>
    <w:rsid w:val="00AC701D"/>
    <w:rsid w:val="00AD2DFD"/>
    <w:rsid w:val="00AD5C0D"/>
    <w:rsid w:val="00AD63AB"/>
    <w:rsid w:val="00AD6568"/>
    <w:rsid w:val="00AD7A3A"/>
    <w:rsid w:val="00AE2A77"/>
    <w:rsid w:val="00AE5BF4"/>
    <w:rsid w:val="00AF457D"/>
    <w:rsid w:val="00AF51AC"/>
    <w:rsid w:val="00B07F12"/>
    <w:rsid w:val="00B1037A"/>
    <w:rsid w:val="00B125D3"/>
    <w:rsid w:val="00B14F0C"/>
    <w:rsid w:val="00B373DD"/>
    <w:rsid w:val="00B40F3A"/>
    <w:rsid w:val="00B41042"/>
    <w:rsid w:val="00B42DE4"/>
    <w:rsid w:val="00B4634B"/>
    <w:rsid w:val="00B467BA"/>
    <w:rsid w:val="00B47D46"/>
    <w:rsid w:val="00B52684"/>
    <w:rsid w:val="00B5311E"/>
    <w:rsid w:val="00B540AD"/>
    <w:rsid w:val="00B544A4"/>
    <w:rsid w:val="00B54EE2"/>
    <w:rsid w:val="00B55C3A"/>
    <w:rsid w:val="00B56215"/>
    <w:rsid w:val="00B63443"/>
    <w:rsid w:val="00B64993"/>
    <w:rsid w:val="00B7088C"/>
    <w:rsid w:val="00B711A4"/>
    <w:rsid w:val="00B75AA0"/>
    <w:rsid w:val="00B76340"/>
    <w:rsid w:val="00B76E52"/>
    <w:rsid w:val="00B85371"/>
    <w:rsid w:val="00B90235"/>
    <w:rsid w:val="00B959A3"/>
    <w:rsid w:val="00B96352"/>
    <w:rsid w:val="00B96BA0"/>
    <w:rsid w:val="00B977D5"/>
    <w:rsid w:val="00BA0C13"/>
    <w:rsid w:val="00BA5FA1"/>
    <w:rsid w:val="00BA7035"/>
    <w:rsid w:val="00BA734D"/>
    <w:rsid w:val="00BB4CBF"/>
    <w:rsid w:val="00BB4EB5"/>
    <w:rsid w:val="00BB5F91"/>
    <w:rsid w:val="00BB6979"/>
    <w:rsid w:val="00BC567B"/>
    <w:rsid w:val="00BD0C91"/>
    <w:rsid w:val="00BD3361"/>
    <w:rsid w:val="00BD430A"/>
    <w:rsid w:val="00BE26B3"/>
    <w:rsid w:val="00BE2C4B"/>
    <w:rsid w:val="00BE3957"/>
    <w:rsid w:val="00BE6F40"/>
    <w:rsid w:val="00BF59D4"/>
    <w:rsid w:val="00BF5FC6"/>
    <w:rsid w:val="00BF7AF9"/>
    <w:rsid w:val="00C00752"/>
    <w:rsid w:val="00C03547"/>
    <w:rsid w:val="00C05337"/>
    <w:rsid w:val="00C07432"/>
    <w:rsid w:val="00C113A8"/>
    <w:rsid w:val="00C14EE7"/>
    <w:rsid w:val="00C31601"/>
    <w:rsid w:val="00C4166C"/>
    <w:rsid w:val="00C428EB"/>
    <w:rsid w:val="00C50169"/>
    <w:rsid w:val="00C53468"/>
    <w:rsid w:val="00C577FD"/>
    <w:rsid w:val="00C60277"/>
    <w:rsid w:val="00C609ED"/>
    <w:rsid w:val="00C61EFC"/>
    <w:rsid w:val="00C62807"/>
    <w:rsid w:val="00C73796"/>
    <w:rsid w:val="00C77546"/>
    <w:rsid w:val="00C850FA"/>
    <w:rsid w:val="00C90272"/>
    <w:rsid w:val="00C94F34"/>
    <w:rsid w:val="00CA0107"/>
    <w:rsid w:val="00CA2C7E"/>
    <w:rsid w:val="00CA729A"/>
    <w:rsid w:val="00CA7E08"/>
    <w:rsid w:val="00CB134C"/>
    <w:rsid w:val="00CB3710"/>
    <w:rsid w:val="00CB7242"/>
    <w:rsid w:val="00CC088E"/>
    <w:rsid w:val="00CC15E8"/>
    <w:rsid w:val="00CC22F3"/>
    <w:rsid w:val="00CC3618"/>
    <w:rsid w:val="00CC3AE1"/>
    <w:rsid w:val="00CC426A"/>
    <w:rsid w:val="00CC6E55"/>
    <w:rsid w:val="00CD0121"/>
    <w:rsid w:val="00CD14C8"/>
    <w:rsid w:val="00CD5320"/>
    <w:rsid w:val="00CE1B1E"/>
    <w:rsid w:val="00CE1BE7"/>
    <w:rsid w:val="00CF2DD3"/>
    <w:rsid w:val="00CF3EFB"/>
    <w:rsid w:val="00CF4DAA"/>
    <w:rsid w:val="00D0152C"/>
    <w:rsid w:val="00D046A0"/>
    <w:rsid w:val="00D0755D"/>
    <w:rsid w:val="00D101D6"/>
    <w:rsid w:val="00D1487B"/>
    <w:rsid w:val="00D2004A"/>
    <w:rsid w:val="00D20A9A"/>
    <w:rsid w:val="00D22DFA"/>
    <w:rsid w:val="00D232D1"/>
    <w:rsid w:val="00D2599D"/>
    <w:rsid w:val="00D305C9"/>
    <w:rsid w:val="00D327C9"/>
    <w:rsid w:val="00D41B6E"/>
    <w:rsid w:val="00D44315"/>
    <w:rsid w:val="00D5568C"/>
    <w:rsid w:val="00D61714"/>
    <w:rsid w:val="00D62A48"/>
    <w:rsid w:val="00D710C6"/>
    <w:rsid w:val="00D721B5"/>
    <w:rsid w:val="00D82803"/>
    <w:rsid w:val="00D85BB9"/>
    <w:rsid w:val="00D8641D"/>
    <w:rsid w:val="00D934DD"/>
    <w:rsid w:val="00DA1291"/>
    <w:rsid w:val="00DA3F54"/>
    <w:rsid w:val="00DA42A2"/>
    <w:rsid w:val="00DA535F"/>
    <w:rsid w:val="00DB5D9B"/>
    <w:rsid w:val="00DC1F89"/>
    <w:rsid w:val="00DC38E9"/>
    <w:rsid w:val="00DC569E"/>
    <w:rsid w:val="00DC63F2"/>
    <w:rsid w:val="00DD0C9E"/>
    <w:rsid w:val="00DD20F1"/>
    <w:rsid w:val="00DD6679"/>
    <w:rsid w:val="00DE2954"/>
    <w:rsid w:val="00DE37B8"/>
    <w:rsid w:val="00DE6D29"/>
    <w:rsid w:val="00DE7CC2"/>
    <w:rsid w:val="00DF067B"/>
    <w:rsid w:val="00DF0D61"/>
    <w:rsid w:val="00DF426A"/>
    <w:rsid w:val="00DF47B5"/>
    <w:rsid w:val="00DF6773"/>
    <w:rsid w:val="00DF6DE5"/>
    <w:rsid w:val="00E0304F"/>
    <w:rsid w:val="00E036CD"/>
    <w:rsid w:val="00E0395F"/>
    <w:rsid w:val="00E04A0A"/>
    <w:rsid w:val="00E173E4"/>
    <w:rsid w:val="00E234B6"/>
    <w:rsid w:val="00E2422E"/>
    <w:rsid w:val="00E31BAF"/>
    <w:rsid w:val="00E3263B"/>
    <w:rsid w:val="00E32720"/>
    <w:rsid w:val="00E33B7E"/>
    <w:rsid w:val="00E379EE"/>
    <w:rsid w:val="00E405B2"/>
    <w:rsid w:val="00E4097D"/>
    <w:rsid w:val="00E416FE"/>
    <w:rsid w:val="00E426F9"/>
    <w:rsid w:val="00E56D7D"/>
    <w:rsid w:val="00E57782"/>
    <w:rsid w:val="00E57F9C"/>
    <w:rsid w:val="00E64574"/>
    <w:rsid w:val="00E735EE"/>
    <w:rsid w:val="00E8163D"/>
    <w:rsid w:val="00E852FE"/>
    <w:rsid w:val="00E86150"/>
    <w:rsid w:val="00E9398C"/>
    <w:rsid w:val="00EA66DC"/>
    <w:rsid w:val="00EB1DFB"/>
    <w:rsid w:val="00EB3668"/>
    <w:rsid w:val="00EB37C4"/>
    <w:rsid w:val="00EB5352"/>
    <w:rsid w:val="00EC081D"/>
    <w:rsid w:val="00EC39B7"/>
    <w:rsid w:val="00EC58E7"/>
    <w:rsid w:val="00ED3C00"/>
    <w:rsid w:val="00ED3EED"/>
    <w:rsid w:val="00ED71A8"/>
    <w:rsid w:val="00ED770B"/>
    <w:rsid w:val="00EE05FB"/>
    <w:rsid w:val="00EE29D4"/>
    <w:rsid w:val="00EE366B"/>
    <w:rsid w:val="00EE3A28"/>
    <w:rsid w:val="00EE3C88"/>
    <w:rsid w:val="00EE40CE"/>
    <w:rsid w:val="00EE5906"/>
    <w:rsid w:val="00EE6733"/>
    <w:rsid w:val="00EE6EA2"/>
    <w:rsid w:val="00EF07B4"/>
    <w:rsid w:val="00EF31FA"/>
    <w:rsid w:val="00EF733F"/>
    <w:rsid w:val="00EF7A43"/>
    <w:rsid w:val="00F06BF6"/>
    <w:rsid w:val="00F108EA"/>
    <w:rsid w:val="00F1228A"/>
    <w:rsid w:val="00F125B6"/>
    <w:rsid w:val="00F130D4"/>
    <w:rsid w:val="00F16369"/>
    <w:rsid w:val="00F17E22"/>
    <w:rsid w:val="00F2101C"/>
    <w:rsid w:val="00F254A0"/>
    <w:rsid w:val="00F26F1B"/>
    <w:rsid w:val="00F301AC"/>
    <w:rsid w:val="00F32F80"/>
    <w:rsid w:val="00F35008"/>
    <w:rsid w:val="00F410AD"/>
    <w:rsid w:val="00F41A03"/>
    <w:rsid w:val="00F42C24"/>
    <w:rsid w:val="00F46A64"/>
    <w:rsid w:val="00F501C2"/>
    <w:rsid w:val="00F50528"/>
    <w:rsid w:val="00F54B8D"/>
    <w:rsid w:val="00F60BE6"/>
    <w:rsid w:val="00F611CA"/>
    <w:rsid w:val="00F61FC9"/>
    <w:rsid w:val="00F62C87"/>
    <w:rsid w:val="00F6600E"/>
    <w:rsid w:val="00F66A75"/>
    <w:rsid w:val="00F671E5"/>
    <w:rsid w:val="00F67205"/>
    <w:rsid w:val="00F672F5"/>
    <w:rsid w:val="00F70DA0"/>
    <w:rsid w:val="00F70E8E"/>
    <w:rsid w:val="00F727CF"/>
    <w:rsid w:val="00F7588C"/>
    <w:rsid w:val="00F75925"/>
    <w:rsid w:val="00F85287"/>
    <w:rsid w:val="00F86973"/>
    <w:rsid w:val="00FA30EA"/>
    <w:rsid w:val="00FA68D8"/>
    <w:rsid w:val="00FB5391"/>
    <w:rsid w:val="00FB53DE"/>
    <w:rsid w:val="00FC097A"/>
    <w:rsid w:val="00FC18B4"/>
    <w:rsid w:val="00FC53BF"/>
    <w:rsid w:val="00FC6542"/>
    <w:rsid w:val="00FD1AB9"/>
    <w:rsid w:val="00FD7277"/>
    <w:rsid w:val="00FD7C76"/>
    <w:rsid w:val="00FE0307"/>
    <w:rsid w:val="00FE2438"/>
    <w:rsid w:val="00FE50DB"/>
    <w:rsid w:val="00FE58DA"/>
    <w:rsid w:val="00FE6590"/>
    <w:rsid w:val="00FE77EA"/>
    <w:rsid w:val="00FE7CD8"/>
    <w:rsid w:val="00FF2B19"/>
    <w:rsid w:val="00FF6C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6A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7F9C"/>
    <w:rPr>
      <w:rFonts w:ascii="Times New Roman" w:hAnsi="Times New Roman" w:cs="Times New Roman"/>
      <w:lang w:eastAsia="cs-CZ"/>
    </w:rPr>
  </w:style>
  <w:style w:type="paragraph" w:styleId="Nadpis1">
    <w:name w:val="heading 1"/>
    <w:basedOn w:val="Normln"/>
    <w:link w:val="Nadpis1Char"/>
    <w:uiPriority w:val="9"/>
    <w:qFormat/>
    <w:rsid w:val="003E5F90"/>
    <w:pPr>
      <w:spacing w:before="100" w:beforeAutospacing="1" w:after="100" w:afterAutospacing="1"/>
      <w:outlineLvl w:val="0"/>
    </w:pPr>
    <w:rPr>
      <w:rFonts w:eastAsia="Times New Roman"/>
      <w:b/>
      <w:bCs/>
      <w:kern w:val="36"/>
      <w:sz w:val="48"/>
      <w:szCs w:val="48"/>
    </w:rPr>
  </w:style>
  <w:style w:type="paragraph" w:styleId="Nadpis2">
    <w:name w:val="heading 2"/>
    <w:basedOn w:val="Normln"/>
    <w:next w:val="Normln"/>
    <w:link w:val="Nadpis2Char"/>
    <w:uiPriority w:val="9"/>
    <w:semiHidden/>
    <w:unhideWhenUsed/>
    <w:qFormat/>
    <w:rsid w:val="00B544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9B4E5E"/>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17886"/>
    <w:pPr>
      <w:ind w:left="720"/>
      <w:contextualSpacing/>
    </w:pPr>
    <w:rPr>
      <w:rFonts w:asciiTheme="minorHAnsi" w:hAnsiTheme="minorHAnsi" w:cstheme="minorBidi"/>
      <w:lang w:eastAsia="en-US"/>
    </w:rPr>
  </w:style>
  <w:style w:type="character" w:styleId="Odkaznakoment">
    <w:name w:val="annotation reference"/>
    <w:basedOn w:val="Standardnpsmoodstavce"/>
    <w:uiPriority w:val="99"/>
    <w:semiHidden/>
    <w:unhideWhenUsed/>
    <w:rsid w:val="00FC097A"/>
    <w:rPr>
      <w:sz w:val="16"/>
      <w:szCs w:val="16"/>
    </w:rPr>
  </w:style>
  <w:style w:type="paragraph" w:styleId="Textkomente">
    <w:name w:val="annotation text"/>
    <w:basedOn w:val="Normln"/>
    <w:link w:val="TextkomenteChar"/>
    <w:uiPriority w:val="99"/>
    <w:unhideWhenUsed/>
    <w:rsid w:val="00FC097A"/>
    <w:rPr>
      <w:rFonts w:asciiTheme="minorHAnsi" w:hAnsiTheme="minorHAnsi" w:cstheme="minorBidi"/>
      <w:sz w:val="20"/>
      <w:szCs w:val="20"/>
      <w:lang w:eastAsia="en-US"/>
    </w:rPr>
  </w:style>
  <w:style w:type="character" w:customStyle="1" w:styleId="TextkomenteChar">
    <w:name w:val="Text komentáře Char"/>
    <w:basedOn w:val="Standardnpsmoodstavce"/>
    <w:link w:val="Textkomente"/>
    <w:uiPriority w:val="99"/>
    <w:rsid w:val="00FC097A"/>
    <w:rPr>
      <w:sz w:val="20"/>
      <w:szCs w:val="20"/>
    </w:rPr>
  </w:style>
  <w:style w:type="paragraph" w:styleId="Pedmtkomente">
    <w:name w:val="annotation subject"/>
    <w:basedOn w:val="Textkomente"/>
    <w:next w:val="Textkomente"/>
    <w:link w:val="PedmtkomenteChar"/>
    <w:uiPriority w:val="99"/>
    <w:semiHidden/>
    <w:unhideWhenUsed/>
    <w:rsid w:val="00FC097A"/>
    <w:rPr>
      <w:b/>
      <w:bCs/>
    </w:rPr>
  </w:style>
  <w:style w:type="character" w:customStyle="1" w:styleId="PedmtkomenteChar">
    <w:name w:val="Předmět komentáře Char"/>
    <w:basedOn w:val="TextkomenteChar"/>
    <w:link w:val="Pedmtkomente"/>
    <w:uiPriority w:val="99"/>
    <w:semiHidden/>
    <w:rsid w:val="00FC097A"/>
    <w:rPr>
      <w:b/>
      <w:bCs/>
      <w:sz w:val="20"/>
      <w:szCs w:val="20"/>
    </w:rPr>
  </w:style>
  <w:style w:type="paragraph" w:styleId="Textbubliny">
    <w:name w:val="Balloon Text"/>
    <w:basedOn w:val="Normln"/>
    <w:link w:val="TextbublinyChar"/>
    <w:uiPriority w:val="99"/>
    <w:semiHidden/>
    <w:unhideWhenUsed/>
    <w:rsid w:val="00FC097A"/>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FC097A"/>
    <w:rPr>
      <w:rFonts w:ascii="Tahoma" w:hAnsi="Tahoma" w:cs="Tahoma"/>
      <w:sz w:val="16"/>
      <w:szCs w:val="16"/>
    </w:rPr>
  </w:style>
  <w:style w:type="character" w:styleId="Hypertextovodkaz">
    <w:name w:val="Hyperlink"/>
    <w:basedOn w:val="Standardnpsmoodstavce"/>
    <w:uiPriority w:val="99"/>
    <w:unhideWhenUsed/>
    <w:rsid w:val="00177C66"/>
    <w:rPr>
      <w:color w:val="0563C1" w:themeColor="hyperlink"/>
      <w:u w:val="single"/>
    </w:rPr>
  </w:style>
  <w:style w:type="character" w:customStyle="1" w:styleId="Nadpis1Char">
    <w:name w:val="Nadpis 1 Char"/>
    <w:basedOn w:val="Standardnpsmoodstavce"/>
    <w:link w:val="Nadpis1"/>
    <w:uiPriority w:val="9"/>
    <w:rsid w:val="003E5F9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3E5F90"/>
  </w:style>
  <w:style w:type="character" w:customStyle="1" w:styleId="highlight">
    <w:name w:val="highlight"/>
    <w:basedOn w:val="Standardnpsmoodstavce"/>
    <w:rsid w:val="003E5F90"/>
  </w:style>
  <w:style w:type="character" w:customStyle="1" w:styleId="Nadpis2Char">
    <w:name w:val="Nadpis 2 Char"/>
    <w:basedOn w:val="Standardnpsmoodstavce"/>
    <w:link w:val="Nadpis2"/>
    <w:uiPriority w:val="9"/>
    <w:semiHidden/>
    <w:rsid w:val="00B544A4"/>
    <w:rPr>
      <w:rFonts w:asciiTheme="majorHAnsi" w:eastAsiaTheme="majorEastAsia" w:hAnsiTheme="majorHAnsi" w:cstheme="majorBidi"/>
      <w:color w:val="2E74B5" w:themeColor="accent1" w:themeShade="BF"/>
      <w:sz w:val="26"/>
      <w:szCs w:val="26"/>
      <w:lang w:eastAsia="cs-CZ"/>
    </w:rPr>
  </w:style>
  <w:style w:type="character" w:customStyle="1" w:styleId="sc">
    <w:name w:val="sc"/>
    <w:basedOn w:val="Standardnpsmoodstavce"/>
    <w:rsid w:val="00B544A4"/>
  </w:style>
  <w:style w:type="character" w:customStyle="1" w:styleId="highwire-citation-authors">
    <w:name w:val="highwire-citation-authors"/>
    <w:basedOn w:val="Standardnpsmoodstavce"/>
    <w:rsid w:val="00B544A4"/>
  </w:style>
  <w:style w:type="character" w:customStyle="1" w:styleId="highwire-citation-author">
    <w:name w:val="highwire-citation-author"/>
    <w:basedOn w:val="Standardnpsmoodstavce"/>
    <w:rsid w:val="00B544A4"/>
  </w:style>
  <w:style w:type="character" w:customStyle="1" w:styleId="nlm-given-names">
    <w:name w:val="nlm-given-names"/>
    <w:basedOn w:val="Standardnpsmoodstavce"/>
    <w:rsid w:val="00B544A4"/>
  </w:style>
  <w:style w:type="character" w:customStyle="1" w:styleId="nlm-surname">
    <w:name w:val="nlm-surname"/>
    <w:basedOn w:val="Standardnpsmoodstavce"/>
    <w:rsid w:val="00B544A4"/>
  </w:style>
  <w:style w:type="character" w:customStyle="1" w:styleId="highwire-cite-metadata-doi">
    <w:name w:val="highwire-cite-metadata-doi"/>
    <w:basedOn w:val="Standardnpsmoodstavce"/>
    <w:rsid w:val="00B544A4"/>
  </w:style>
  <w:style w:type="character" w:customStyle="1" w:styleId="metadata-label">
    <w:name w:val="metadata-label"/>
    <w:basedOn w:val="Standardnpsmoodstavce"/>
    <w:rsid w:val="00B544A4"/>
  </w:style>
  <w:style w:type="character" w:customStyle="1" w:styleId="highwire-cite-metadata-date">
    <w:name w:val="highwire-cite-metadata-date"/>
    <w:basedOn w:val="Standardnpsmoodstavce"/>
    <w:rsid w:val="00B544A4"/>
  </w:style>
  <w:style w:type="character" w:customStyle="1" w:styleId="Nadpis3Char">
    <w:name w:val="Nadpis 3 Char"/>
    <w:basedOn w:val="Standardnpsmoodstavce"/>
    <w:link w:val="Nadpis3"/>
    <w:uiPriority w:val="9"/>
    <w:rsid w:val="009B4E5E"/>
    <w:rPr>
      <w:rFonts w:asciiTheme="majorHAnsi" w:eastAsiaTheme="majorEastAsia" w:hAnsiTheme="majorHAnsi" w:cstheme="majorBidi"/>
      <w:color w:val="1F4D78" w:themeColor="accent1" w:themeShade="7F"/>
      <w:lang w:eastAsia="cs-CZ"/>
    </w:rPr>
  </w:style>
  <w:style w:type="paragraph" w:customStyle="1" w:styleId="Nzev1">
    <w:name w:val="Název1"/>
    <w:basedOn w:val="Normln"/>
    <w:rsid w:val="009C0432"/>
    <w:pPr>
      <w:spacing w:before="100" w:beforeAutospacing="1" w:after="100" w:afterAutospacing="1"/>
    </w:pPr>
    <w:rPr>
      <w:rFonts w:eastAsia="Times New Roman"/>
    </w:rPr>
  </w:style>
  <w:style w:type="paragraph" w:customStyle="1" w:styleId="desc">
    <w:name w:val="desc"/>
    <w:basedOn w:val="Normln"/>
    <w:rsid w:val="009C0432"/>
    <w:pPr>
      <w:spacing w:before="100" w:beforeAutospacing="1" w:after="100" w:afterAutospacing="1"/>
    </w:pPr>
    <w:rPr>
      <w:rFonts w:eastAsia="Times New Roman"/>
    </w:rPr>
  </w:style>
  <w:style w:type="paragraph" w:customStyle="1" w:styleId="details">
    <w:name w:val="details"/>
    <w:basedOn w:val="Normln"/>
    <w:rsid w:val="009C0432"/>
    <w:pPr>
      <w:spacing w:before="100" w:beforeAutospacing="1" w:after="100" w:afterAutospacing="1"/>
    </w:pPr>
    <w:rPr>
      <w:rFonts w:eastAsia="Times New Roman"/>
    </w:rPr>
  </w:style>
  <w:style w:type="character" w:customStyle="1" w:styleId="jrnl">
    <w:name w:val="jrnl"/>
    <w:basedOn w:val="Standardnpsmoodstavce"/>
    <w:rsid w:val="009C0432"/>
  </w:style>
  <w:style w:type="character" w:styleId="Sledovanodkaz">
    <w:name w:val="FollowedHyperlink"/>
    <w:basedOn w:val="Standardnpsmoodstavce"/>
    <w:uiPriority w:val="99"/>
    <w:semiHidden/>
    <w:unhideWhenUsed/>
    <w:rsid w:val="001476AF"/>
    <w:rPr>
      <w:color w:val="954F72" w:themeColor="followedHyperlink"/>
      <w:u w:val="single"/>
    </w:rPr>
  </w:style>
  <w:style w:type="paragraph" w:styleId="Revize">
    <w:name w:val="Revision"/>
    <w:hidden/>
    <w:uiPriority w:val="99"/>
    <w:semiHidden/>
    <w:rsid w:val="00F61FC9"/>
    <w:rPr>
      <w:rFonts w:ascii="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7323">
      <w:bodyDiv w:val="1"/>
      <w:marLeft w:val="0"/>
      <w:marRight w:val="0"/>
      <w:marTop w:val="0"/>
      <w:marBottom w:val="0"/>
      <w:divBdr>
        <w:top w:val="none" w:sz="0" w:space="0" w:color="auto"/>
        <w:left w:val="none" w:sz="0" w:space="0" w:color="auto"/>
        <w:bottom w:val="none" w:sz="0" w:space="0" w:color="auto"/>
        <w:right w:val="none" w:sz="0" w:space="0" w:color="auto"/>
      </w:divBdr>
    </w:div>
    <w:div w:id="34548298">
      <w:bodyDiv w:val="1"/>
      <w:marLeft w:val="0"/>
      <w:marRight w:val="0"/>
      <w:marTop w:val="0"/>
      <w:marBottom w:val="0"/>
      <w:divBdr>
        <w:top w:val="none" w:sz="0" w:space="0" w:color="auto"/>
        <w:left w:val="none" w:sz="0" w:space="0" w:color="auto"/>
        <w:bottom w:val="none" w:sz="0" w:space="0" w:color="auto"/>
        <w:right w:val="none" w:sz="0" w:space="0" w:color="auto"/>
      </w:divBdr>
      <w:divsChild>
        <w:div w:id="589125348">
          <w:marLeft w:val="0"/>
          <w:marRight w:val="0"/>
          <w:marTop w:val="0"/>
          <w:marBottom w:val="0"/>
          <w:divBdr>
            <w:top w:val="none" w:sz="0" w:space="0" w:color="auto"/>
            <w:left w:val="none" w:sz="0" w:space="0" w:color="auto"/>
            <w:bottom w:val="none" w:sz="0" w:space="0" w:color="auto"/>
            <w:right w:val="none" w:sz="0" w:space="0" w:color="auto"/>
          </w:divBdr>
          <w:divsChild>
            <w:div w:id="393429818">
              <w:marLeft w:val="0"/>
              <w:marRight w:val="0"/>
              <w:marTop w:val="0"/>
              <w:marBottom w:val="0"/>
              <w:divBdr>
                <w:top w:val="none" w:sz="0" w:space="0" w:color="auto"/>
                <w:left w:val="none" w:sz="0" w:space="0" w:color="auto"/>
                <w:bottom w:val="none" w:sz="0" w:space="0" w:color="auto"/>
                <w:right w:val="none" w:sz="0" w:space="0" w:color="auto"/>
              </w:divBdr>
              <w:divsChild>
                <w:div w:id="1415513052">
                  <w:marLeft w:val="0"/>
                  <w:marRight w:val="0"/>
                  <w:marTop w:val="0"/>
                  <w:marBottom w:val="0"/>
                  <w:divBdr>
                    <w:top w:val="none" w:sz="0" w:space="0" w:color="auto"/>
                    <w:left w:val="none" w:sz="0" w:space="0" w:color="auto"/>
                    <w:bottom w:val="none" w:sz="0" w:space="0" w:color="auto"/>
                    <w:right w:val="none" w:sz="0" w:space="0" w:color="auto"/>
                  </w:divBdr>
                  <w:divsChild>
                    <w:div w:id="1008681761">
                      <w:marLeft w:val="0"/>
                      <w:marRight w:val="0"/>
                      <w:marTop w:val="0"/>
                      <w:marBottom w:val="0"/>
                      <w:divBdr>
                        <w:top w:val="none" w:sz="0" w:space="0" w:color="auto"/>
                        <w:left w:val="none" w:sz="0" w:space="0" w:color="auto"/>
                        <w:bottom w:val="none" w:sz="0" w:space="0" w:color="auto"/>
                        <w:right w:val="none" w:sz="0" w:space="0" w:color="auto"/>
                      </w:divBdr>
                      <w:divsChild>
                        <w:div w:id="7601075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556503445">
          <w:marLeft w:val="0"/>
          <w:marRight w:val="0"/>
          <w:marTop w:val="0"/>
          <w:marBottom w:val="300"/>
          <w:divBdr>
            <w:top w:val="none" w:sz="0" w:space="0" w:color="auto"/>
            <w:left w:val="none" w:sz="0" w:space="0" w:color="auto"/>
            <w:bottom w:val="none" w:sz="0" w:space="0" w:color="auto"/>
            <w:right w:val="none" w:sz="0" w:space="0" w:color="auto"/>
          </w:divBdr>
          <w:divsChild>
            <w:div w:id="1920477726">
              <w:marLeft w:val="0"/>
              <w:marRight w:val="0"/>
              <w:marTop w:val="0"/>
              <w:marBottom w:val="0"/>
              <w:divBdr>
                <w:top w:val="none" w:sz="0" w:space="0" w:color="auto"/>
                <w:left w:val="none" w:sz="0" w:space="0" w:color="auto"/>
                <w:bottom w:val="none" w:sz="0" w:space="0" w:color="auto"/>
                <w:right w:val="none" w:sz="0" w:space="0" w:color="auto"/>
              </w:divBdr>
              <w:divsChild>
                <w:div w:id="2719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4490">
      <w:bodyDiv w:val="1"/>
      <w:marLeft w:val="0"/>
      <w:marRight w:val="0"/>
      <w:marTop w:val="0"/>
      <w:marBottom w:val="0"/>
      <w:divBdr>
        <w:top w:val="none" w:sz="0" w:space="0" w:color="auto"/>
        <w:left w:val="none" w:sz="0" w:space="0" w:color="auto"/>
        <w:bottom w:val="none" w:sz="0" w:space="0" w:color="auto"/>
        <w:right w:val="none" w:sz="0" w:space="0" w:color="auto"/>
      </w:divBdr>
    </w:div>
    <w:div w:id="55591851">
      <w:bodyDiv w:val="1"/>
      <w:marLeft w:val="0"/>
      <w:marRight w:val="0"/>
      <w:marTop w:val="0"/>
      <w:marBottom w:val="0"/>
      <w:divBdr>
        <w:top w:val="none" w:sz="0" w:space="0" w:color="auto"/>
        <w:left w:val="none" w:sz="0" w:space="0" w:color="auto"/>
        <w:bottom w:val="none" w:sz="0" w:space="0" w:color="auto"/>
        <w:right w:val="none" w:sz="0" w:space="0" w:color="auto"/>
      </w:divBdr>
    </w:div>
    <w:div w:id="71898358">
      <w:bodyDiv w:val="1"/>
      <w:marLeft w:val="0"/>
      <w:marRight w:val="0"/>
      <w:marTop w:val="0"/>
      <w:marBottom w:val="0"/>
      <w:divBdr>
        <w:top w:val="none" w:sz="0" w:space="0" w:color="auto"/>
        <w:left w:val="none" w:sz="0" w:space="0" w:color="auto"/>
        <w:bottom w:val="none" w:sz="0" w:space="0" w:color="auto"/>
        <w:right w:val="none" w:sz="0" w:space="0" w:color="auto"/>
      </w:divBdr>
    </w:div>
    <w:div w:id="76093502">
      <w:bodyDiv w:val="1"/>
      <w:marLeft w:val="0"/>
      <w:marRight w:val="0"/>
      <w:marTop w:val="0"/>
      <w:marBottom w:val="0"/>
      <w:divBdr>
        <w:top w:val="none" w:sz="0" w:space="0" w:color="auto"/>
        <w:left w:val="none" w:sz="0" w:space="0" w:color="auto"/>
        <w:bottom w:val="none" w:sz="0" w:space="0" w:color="auto"/>
        <w:right w:val="none" w:sz="0" w:space="0" w:color="auto"/>
      </w:divBdr>
    </w:div>
    <w:div w:id="118108648">
      <w:bodyDiv w:val="1"/>
      <w:marLeft w:val="0"/>
      <w:marRight w:val="0"/>
      <w:marTop w:val="0"/>
      <w:marBottom w:val="0"/>
      <w:divBdr>
        <w:top w:val="none" w:sz="0" w:space="0" w:color="auto"/>
        <w:left w:val="none" w:sz="0" w:space="0" w:color="auto"/>
        <w:bottom w:val="none" w:sz="0" w:space="0" w:color="auto"/>
        <w:right w:val="none" w:sz="0" w:space="0" w:color="auto"/>
      </w:divBdr>
    </w:div>
    <w:div w:id="126820731">
      <w:bodyDiv w:val="1"/>
      <w:marLeft w:val="0"/>
      <w:marRight w:val="0"/>
      <w:marTop w:val="0"/>
      <w:marBottom w:val="0"/>
      <w:divBdr>
        <w:top w:val="none" w:sz="0" w:space="0" w:color="auto"/>
        <w:left w:val="none" w:sz="0" w:space="0" w:color="auto"/>
        <w:bottom w:val="none" w:sz="0" w:space="0" w:color="auto"/>
        <w:right w:val="none" w:sz="0" w:space="0" w:color="auto"/>
      </w:divBdr>
    </w:div>
    <w:div w:id="128521329">
      <w:bodyDiv w:val="1"/>
      <w:marLeft w:val="0"/>
      <w:marRight w:val="0"/>
      <w:marTop w:val="0"/>
      <w:marBottom w:val="0"/>
      <w:divBdr>
        <w:top w:val="none" w:sz="0" w:space="0" w:color="auto"/>
        <w:left w:val="none" w:sz="0" w:space="0" w:color="auto"/>
        <w:bottom w:val="none" w:sz="0" w:space="0" w:color="auto"/>
        <w:right w:val="none" w:sz="0" w:space="0" w:color="auto"/>
      </w:divBdr>
    </w:div>
    <w:div w:id="145557215">
      <w:bodyDiv w:val="1"/>
      <w:marLeft w:val="0"/>
      <w:marRight w:val="0"/>
      <w:marTop w:val="0"/>
      <w:marBottom w:val="0"/>
      <w:divBdr>
        <w:top w:val="none" w:sz="0" w:space="0" w:color="auto"/>
        <w:left w:val="none" w:sz="0" w:space="0" w:color="auto"/>
        <w:bottom w:val="none" w:sz="0" w:space="0" w:color="auto"/>
        <w:right w:val="none" w:sz="0" w:space="0" w:color="auto"/>
      </w:divBdr>
    </w:div>
    <w:div w:id="151988441">
      <w:bodyDiv w:val="1"/>
      <w:marLeft w:val="0"/>
      <w:marRight w:val="0"/>
      <w:marTop w:val="0"/>
      <w:marBottom w:val="0"/>
      <w:divBdr>
        <w:top w:val="none" w:sz="0" w:space="0" w:color="auto"/>
        <w:left w:val="none" w:sz="0" w:space="0" w:color="auto"/>
        <w:bottom w:val="none" w:sz="0" w:space="0" w:color="auto"/>
        <w:right w:val="none" w:sz="0" w:space="0" w:color="auto"/>
      </w:divBdr>
    </w:div>
    <w:div w:id="170920889">
      <w:bodyDiv w:val="1"/>
      <w:marLeft w:val="0"/>
      <w:marRight w:val="0"/>
      <w:marTop w:val="0"/>
      <w:marBottom w:val="0"/>
      <w:divBdr>
        <w:top w:val="none" w:sz="0" w:space="0" w:color="auto"/>
        <w:left w:val="none" w:sz="0" w:space="0" w:color="auto"/>
        <w:bottom w:val="none" w:sz="0" w:space="0" w:color="auto"/>
        <w:right w:val="none" w:sz="0" w:space="0" w:color="auto"/>
      </w:divBdr>
    </w:div>
    <w:div w:id="176651360">
      <w:bodyDiv w:val="1"/>
      <w:marLeft w:val="0"/>
      <w:marRight w:val="0"/>
      <w:marTop w:val="0"/>
      <w:marBottom w:val="0"/>
      <w:divBdr>
        <w:top w:val="none" w:sz="0" w:space="0" w:color="auto"/>
        <w:left w:val="none" w:sz="0" w:space="0" w:color="auto"/>
        <w:bottom w:val="none" w:sz="0" w:space="0" w:color="auto"/>
        <w:right w:val="none" w:sz="0" w:space="0" w:color="auto"/>
      </w:divBdr>
    </w:div>
    <w:div w:id="191502836">
      <w:bodyDiv w:val="1"/>
      <w:marLeft w:val="0"/>
      <w:marRight w:val="0"/>
      <w:marTop w:val="0"/>
      <w:marBottom w:val="0"/>
      <w:divBdr>
        <w:top w:val="none" w:sz="0" w:space="0" w:color="auto"/>
        <w:left w:val="none" w:sz="0" w:space="0" w:color="auto"/>
        <w:bottom w:val="none" w:sz="0" w:space="0" w:color="auto"/>
        <w:right w:val="none" w:sz="0" w:space="0" w:color="auto"/>
      </w:divBdr>
    </w:div>
    <w:div w:id="198780556">
      <w:bodyDiv w:val="1"/>
      <w:marLeft w:val="0"/>
      <w:marRight w:val="0"/>
      <w:marTop w:val="0"/>
      <w:marBottom w:val="0"/>
      <w:divBdr>
        <w:top w:val="none" w:sz="0" w:space="0" w:color="auto"/>
        <w:left w:val="none" w:sz="0" w:space="0" w:color="auto"/>
        <w:bottom w:val="none" w:sz="0" w:space="0" w:color="auto"/>
        <w:right w:val="none" w:sz="0" w:space="0" w:color="auto"/>
      </w:divBdr>
    </w:div>
    <w:div w:id="224687332">
      <w:bodyDiv w:val="1"/>
      <w:marLeft w:val="0"/>
      <w:marRight w:val="0"/>
      <w:marTop w:val="0"/>
      <w:marBottom w:val="0"/>
      <w:divBdr>
        <w:top w:val="none" w:sz="0" w:space="0" w:color="auto"/>
        <w:left w:val="none" w:sz="0" w:space="0" w:color="auto"/>
        <w:bottom w:val="none" w:sz="0" w:space="0" w:color="auto"/>
        <w:right w:val="none" w:sz="0" w:space="0" w:color="auto"/>
      </w:divBdr>
    </w:div>
    <w:div w:id="268589497">
      <w:bodyDiv w:val="1"/>
      <w:marLeft w:val="0"/>
      <w:marRight w:val="0"/>
      <w:marTop w:val="0"/>
      <w:marBottom w:val="0"/>
      <w:divBdr>
        <w:top w:val="none" w:sz="0" w:space="0" w:color="auto"/>
        <w:left w:val="none" w:sz="0" w:space="0" w:color="auto"/>
        <w:bottom w:val="none" w:sz="0" w:space="0" w:color="auto"/>
        <w:right w:val="none" w:sz="0" w:space="0" w:color="auto"/>
      </w:divBdr>
    </w:div>
    <w:div w:id="270480030">
      <w:bodyDiv w:val="1"/>
      <w:marLeft w:val="0"/>
      <w:marRight w:val="0"/>
      <w:marTop w:val="0"/>
      <w:marBottom w:val="0"/>
      <w:divBdr>
        <w:top w:val="none" w:sz="0" w:space="0" w:color="auto"/>
        <w:left w:val="none" w:sz="0" w:space="0" w:color="auto"/>
        <w:bottom w:val="none" w:sz="0" w:space="0" w:color="auto"/>
        <w:right w:val="none" w:sz="0" w:space="0" w:color="auto"/>
      </w:divBdr>
    </w:div>
    <w:div w:id="287322771">
      <w:bodyDiv w:val="1"/>
      <w:marLeft w:val="0"/>
      <w:marRight w:val="0"/>
      <w:marTop w:val="0"/>
      <w:marBottom w:val="0"/>
      <w:divBdr>
        <w:top w:val="none" w:sz="0" w:space="0" w:color="auto"/>
        <w:left w:val="none" w:sz="0" w:space="0" w:color="auto"/>
        <w:bottom w:val="none" w:sz="0" w:space="0" w:color="auto"/>
        <w:right w:val="none" w:sz="0" w:space="0" w:color="auto"/>
      </w:divBdr>
      <w:divsChild>
        <w:div w:id="745416076">
          <w:marLeft w:val="0"/>
          <w:marRight w:val="0"/>
          <w:marTop w:val="0"/>
          <w:marBottom w:val="0"/>
          <w:divBdr>
            <w:top w:val="none" w:sz="0" w:space="0" w:color="auto"/>
            <w:left w:val="none" w:sz="0" w:space="0" w:color="auto"/>
            <w:bottom w:val="none" w:sz="0" w:space="0" w:color="auto"/>
            <w:right w:val="none" w:sz="0" w:space="0" w:color="auto"/>
          </w:divBdr>
          <w:divsChild>
            <w:div w:id="1186796189">
              <w:marLeft w:val="0"/>
              <w:marRight w:val="0"/>
              <w:marTop w:val="0"/>
              <w:marBottom w:val="0"/>
              <w:divBdr>
                <w:top w:val="none" w:sz="0" w:space="0" w:color="auto"/>
                <w:left w:val="none" w:sz="0" w:space="0" w:color="auto"/>
                <w:bottom w:val="none" w:sz="0" w:space="0" w:color="auto"/>
                <w:right w:val="none" w:sz="0" w:space="0" w:color="auto"/>
              </w:divBdr>
              <w:divsChild>
                <w:div w:id="44442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8076">
      <w:bodyDiv w:val="1"/>
      <w:marLeft w:val="0"/>
      <w:marRight w:val="0"/>
      <w:marTop w:val="0"/>
      <w:marBottom w:val="0"/>
      <w:divBdr>
        <w:top w:val="none" w:sz="0" w:space="0" w:color="auto"/>
        <w:left w:val="none" w:sz="0" w:space="0" w:color="auto"/>
        <w:bottom w:val="none" w:sz="0" w:space="0" w:color="auto"/>
        <w:right w:val="none" w:sz="0" w:space="0" w:color="auto"/>
      </w:divBdr>
    </w:div>
    <w:div w:id="341201396">
      <w:bodyDiv w:val="1"/>
      <w:marLeft w:val="0"/>
      <w:marRight w:val="0"/>
      <w:marTop w:val="0"/>
      <w:marBottom w:val="0"/>
      <w:divBdr>
        <w:top w:val="none" w:sz="0" w:space="0" w:color="auto"/>
        <w:left w:val="none" w:sz="0" w:space="0" w:color="auto"/>
        <w:bottom w:val="none" w:sz="0" w:space="0" w:color="auto"/>
        <w:right w:val="none" w:sz="0" w:space="0" w:color="auto"/>
      </w:divBdr>
    </w:div>
    <w:div w:id="342977799">
      <w:bodyDiv w:val="1"/>
      <w:marLeft w:val="0"/>
      <w:marRight w:val="0"/>
      <w:marTop w:val="0"/>
      <w:marBottom w:val="0"/>
      <w:divBdr>
        <w:top w:val="none" w:sz="0" w:space="0" w:color="auto"/>
        <w:left w:val="none" w:sz="0" w:space="0" w:color="auto"/>
        <w:bottom w:val="none" w:sz="0" w:space="0" w:color="auto"/>
        <w:right w:val="none" w:sz="0" w:space="0" w:color="auto"/>
      </w:divBdr>
    </w:div>
    <w:div w:id="351416074">
      <w:bodyDiv w:val="1"/>
      <w:marLeft w:val="0"/>
      <w:marRight w:val="0"/>
      <w:marTop w:val="0"/>
      <w:marBottom w:val="0"/>
      <w:divBdr>
        <w:top w:val="none" w:sz="0" w:space="0" w:color="auto"/>
        <w:left w:val="none" w:sz="0" w:space="0" w:color="auto"/>
        <w:bottom w:val="none" w:sz="0" w:space="0" w:color="auto"/>
        <w:right w:val="none" w:sz="0" w:space="0" w:color="auto"/>
      </w:divBdr>
    </w:div>
    <w:div w:id="353771100">
      <w:bodyDiv w:val="1"/>
      <w:marLeft w:val="0"/>
      <w:marRight w:val="0"/>
      <w:marTop w:val="0"/>
      <w:marBottom w:val="0"/>
      <w:divBdr>
        <w:top w:val="none" w:sz="0" w:space="0" w:color="auto"/>
        <w:left w:val="none" w:sz="0" w:space="0" w:color="auto"/>
        <w:bottom w:val="none" w:sz="0" w:space="0" w:color="auto"/>
        <w:right w:val="none" w:sz="0" w:space="0" w:color="auto"/>
      </w:divBdr>
    </w:div>
    <w:div w:id="380833495">
      <w:bodyDiv w:val="1"/>
      <w:marLeft w:val="0"/>
      <w:marRight w:val="0"/>
      <w:marTop w:val="0"/>
      <w:marBottom w:val="0"/>
      <w:divBdr>
        <w:top w:val="none" w:sz="0" w:space="0" w:color="auto"/>
        <w:left w:val="none" w:sz="0" w:space="0" w:color="auto"/>
        <w:bottom w:val="none" w:sz="0" w:space="0" w:color="auto"/>
        <w:right w:val="none" w:sz="0" w:space="0" w:color="auto"/>
      </w:divBdr>
    </w:div>
    <w:div w:id="401409345">
      <w:bodyDiv w:val="1"/>
      <w:marLeft w:val="0"/>
      <w:marRight w:val="0"/>
      <w:marTop w:val="0"/>
      <w:marBottom w:val="0"/>
      <w:divBdr>
        <w:top w:val="none" w:sz="0" w:space="0" w:color="auto"/>
        <w:left w:val="none" w:sz="0" w:space="0" w:color="auto"/>
        <w:bottom w:val="none" w:sz="0" w:space="0" w:color="auto"/>
        <w:right w:val="none" w:sz="0" w:space="0" w:color="auto"/>
      </w:divBdr>
      <w:divsChild>
        <w:div w:id="1404840733">
          <w:marLeft w:val="0"/>
          <w:marRight w:val="0"/>
          <w:marTop w:val="0"/>
          <w:marBottom w:val="0"/>
          <w:divBdr>
            <w:top w:val="none" w:sz="0" w:space="0" w:color="auto"/>
            <w:left w:val="none" w:sz="0" w:space="0" w:color="auto"/>
            <w:bottom w:val="none" w:sz="0" w:space="0" w:color="auto"/>
            <w:right w:val="none" w:sz="0" w:space="0" w:color="auto"/>
          </w:divBdr>
          <w:divsChild>
            <w:div w:id="95253227">
              <w:marLeft w:val="0"/>
              <w:marRight w:val="0"/>
              <w:marTop w:val="0"/>
              <w:marBottom w:val="0"/>
              <w:divBdr>
                <w:top w:val="none" w:sz="0" w:space="0" w:color="auto"/>
                <w:left w:val="none" w:sz="0" w:space="0" w:color="auto"/>
                <w:bottom w:val="none" w:sz="0" w:space="0" w:color="auto"/>
                <w:right w:val="none" w:sz="0" w:space="0" w:color="auto"/>
              </w:divBdr>
              <w:divsChild>
                <w:div w:id="2377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765319">
      <w:bodyDiv w:val="1"/>
      <w:marLeft w:val="0"/>
      <w:marRight w:val="0"/>
      <w:marTop w:val="0"/>
      <w:marBottom w:val="0"/>
      <w:divBdr>
        <w:top w:val="none" w:sz="0" w:space="0" w:color="auto"/>
        <w:left w:val="none" w:sz="0" w:space="0" w:color="auto"/>
        <w:bottom w:val="none" w:sz="0" w:space="0" w:color="auto"/>
        <w:right w:val="none" w:sz="0" w:space="0" w:color="auto"/>
      </w:divBdr>
    </w:div>
    <w:div w:id="418991059">
      <w:bodyDiv w:val="1"/>
      <w:marLeft w:val="0"/>
      <w:marRight w:val="0"/>
      <w:marTop w:val="0"/>
      <w:marBottom w:val="0"/>
      <w:divBdr>
        <w:top w:val="none" w:sz="0" w:space="0" w:color="auto"/>
        <w:left w:val="none" w:sz="0" w:space="0" w:color="auto"/>
        <w:bottom w:val="none" w:sz="0" w:space="0" w:color="auto"/>
        <w:right w:val="none" w:sz="0" w:space="0" w:color="auto"/>
      </w:divBdr>
    </w:div>
    <w:div w:id="494421935">
      <w:bodyDiv w:val="1"/>
      <w:marLeft w:val="0"/>
      <w:marRight w:val="0"/>
      <w:marTop w:val="0"/>
      <w:marBottom w:val="0"/>
      <w:divBdr>
        <w:top w:val="none" w:sz="0" w:space="0" w:color="auto"/>
        <w:left w:val="none" w:sz="0" w:space="0" w:color="auto"/>
        <w:bottom w:val="none" w:sz="0" w:space="0" w:color="auto"/>
        <w:right w:val="none" w:sz="0" w:space="0" w:color="auto"/>
      </w:divBdr>
      <w:divsChild>
        <w:div w:id="439838311">
          <w:marLeft w:val="0"/>
          <w:marRight w:val="0"/>
          <w:marTop w:val="0"/>
          <w:marBottom w:val="0"/>
          <w:divBdr>
            <w:top w:val="none" w:sz="0" w:space="0" w:color="auto"/>
            <w:left w:val="none" w:sz="0" w:space="0" w:color="auto"/>
            <w:bottom w:val="none" w:sz="0" w:space="0" w:color="auto"/>
            <w:right w:val="none" w:sz="0" w:space="0" w:color="auto"/>
          </w:divBdr>
          <w:divsChild>
            <w:div w:id="1066417187">
              <w:marLeft w:val="0"/>
              <w:marRight w:val="0"/>
              <w:marTop w:val="0"/>
              <w:marBottom w:val="0"/>
              <w:divBdr>
                <w:top w:val="none" w:sz="0" w:space="0" w:color="auto"/>
                <w:left w:val="none" w:sz="0" w:space="0" w:color="auto"/>
                <w:bottom w:val="none" w:sz="0" w:space="0" w:color="auto"/>
                <w:right w:val="none" w:sz="0" w:space="0" w:color="auto"/>
              </w:divBdr>
              <w:divsChild>
                <w:div w:id="1427262841">
                  <w:marLeft w:val="0"/>
                  <w:marRight w:val="0"/>
                  <w:marTop w:val="0"/>
                  <w:marBottom w:val="0"/>
                  <w:divBdr>
                    <w:top w:val="none" w:sz="0" w:space="0" w:color="auto"/>
                    <w:left w:val="none" w:sz="0" w:space="0" w:color="auto"/>
                    <w:bottom w:val="none" w:sz="0" w:space="0" w:color="auto"/>
                    <w:right w:val="none" w:sz="0" w:space="0" w:color="auto"/>
                  </w:divBdr>
                  <w:divsChild>
                    <w:div w:id="1325552224">
                      <w:marLeft w:val="0"/>
                      <w:marRight w:val="0"/>
                      <w:marTop w:val="0"/>
                      <w:marBottom w:val="0"/>
                      <w:divBdr>
                        <w:top w:val="none" w:sz="0" w:space="0" w:color="auto"/>
                        <w:left w:val="none" w:sz="0" w:space="0" w:color="auto"/>
                        <w:bottom w:val="none" w:sz="0" w:space="0" w:color="auto"/>
                        <w:right w:val="none" w:sz="0" w:space="0" w:color="auto"/>
                      </w:divBdr>
                      <w:divsChild>
                        <w:div w:id="18944678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39593650">
          <w:marLeft w:val="0"/>
          <w:marRight w:val="0"/>
          <w:marTop w:val="0"/>
          <w:marBottom w:val="300"/>
          <w:divBdr>
            <w:top w:val="none" w:sz="0" w:space="0" w:color="auto"/>
            <w:left w:val="none" w:sz="0" w:space="0" w:color="auto"/>
            <w:bottom w:val="none" w:sz="0" w:space="0" w:color="auto"/>
            <w:right w:val="none" w:sz="0" w:space="0" w:color="auto"/>
          </w:divBdr>
          <w:divsChild>
            <w:div w:id="43869388">
              <w:marLeft w:val="0"/>
              <w:marRight w:val="0"/>
              <w:marTop w:val="0"/>
              <w:marBottom w:val="0"/>
              <w:divBdr>
                <w:top w:val="none" w:sz="0" w:space="0" w:color="auto"/>
                <w:left w:val="none" w:sz="0" w:space="0" w:color="auto"/>
                <w:bottom w:val="none" w:sz="0" w:space="0" w:color="auto"/>
                <w:right w:val="none" w:sz="0" w:space="0" w:color="auto"/>
              </w:divBdr>
              <w:divsChild>
                <w:div w:id="8285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3197">
      <w:bodyDiv w:val="1"/>
      <w:marLeft w:val="0"/>
      <w:marRight w:val="0"/>
      <w:marTop w:val="0"/>
      <w:marBottom w:val="0"/>
      <w:divBdr>
        <w:top w:val="none" w:sz="0" w:space="0" w:color="auto"/>
        <w:left w:val="none" w:sz="0" w:space="0" w:color="auto"/>
        <w:bottom w:val="none" w:sz="0" w:space="0" w:color="auto"/>
        <w:right w:val="none" w:sz="0" w:space="0" w:color="auto"/>
      </w:divBdr>
    </w:div>
    <w:div w:id="529033640">
      <w:bodyDiv w:val="1"/>
      <w:marLeft w:val="0"/>
      <w:marRight w:val="0"/>
      <w:marTop w:val="0"/>
      <w:marBottom w:val="0"/>
      <w:divBdr>
        <w:top w:val="none" w:sz="0" w:space="0" w:color="auto"/>
        <w:left w:val="none" w:sz="0" w:space="0" w:color="auto"/>
        <w:bottom w:val="none" w:sz="0" w:space="0" w:color="auto"/>
        <w:right w:val="none" w:sz="0" w:space="0" w:color="auto"/>
      </w:divBdr>
    </w:div>
    <w:div w:id="534122541">
      <w:bodyDiv w:val="1"/>
      <w:marLeft w:val="0"/>
      <w:marRight w:val="0"/>
      <w:marTop w:val="0"/>
      <w:marBottom w:val="0"/>
      <w:divBdr>
        <w:top w:val="none" w:sz="0" w:space="0" w:color="auto"/>
        <w:left w:val="none" w:sz="0" w:space="0" w:color="auto"/>
        <w:bottom w:val="none" w:sz="0" w:space="0" w:color="auto"/>
        <w:right w:val="none" w:sz="0" w:space="0" w:color="auto"/>
      </w:divBdr>
    </w:div>
    <w:div w:id="549734236">
      <w:bodyDiv w:val="1"/>
      <w:marLeft w:val="0"/>
      <w:marRight w:val="0"/>
      <w:marTop w:val="0"/>
      <w:marBottom w:val="0"/>
      <w:divBdr>
        <w:top w:val="none" w:sz="0" w:space="0" w:color="auto"/>
        <w:left w:val="none" w:sz="0" w:space="0" w:color="auto"/>
        <w:bottom w:val="none" w:sz="0" w:space="0" w:color="auto"/>
        <w:right w:val="none" w:sz="0" w:space="0" w:color="auto"/>
      </w:divBdr>
      <w:divsChild>
        <w:div w:id="785545072">
          <w:marLeft w:val="0"/>
          <w:marRight w:val="0"/>
          <w:marTop w:val="34"/>
          <w:marBottom w:val="34"/>
          <w:divBdr>
            <w:top w:val="none" w:sz="0" w:space="0" w:color="auto"/>
            <w:left w:val="none" w:sz="0" w:space="0" w:color="auto"/>
            <w:bottom w:val="none" w:sz="0" w:space="0" w:color="auto"/>
            <w:right w:val="none" w:sz="0" w:space="0" w:color="auto"/>
          </w:divBdr>
        </w:div>
      </w:divsChild>
    </w:div>
    <w:div w:id="556859668">
      <w:bodyDiv w:val="1"/>
      <w:marLeft w:val="0"/>
      <w:marRight w:val="0"/>
      <w:marTop w:val="0"/>
      <w:marBottom w:val="0"/>
      <w:divBdr>
        <w:top w:val="none" w:sz="0" w:space="0" w:color="auto"/>
        <w:left w:val="none" w:sz="0" w:space="0" w:color="auto"/>
        <w:bottom w:val="none" w:sz="0" w:space="0" w:color="auto"/>
        <w:right w:val="none" w:sz="0" w:space="0" w:color="auto"/>
      </w:divBdr>
    </w:div>
    <w:div w:id="570775865">
      <w:bodyDiv w:val="1"/>
      <w:marLeft w:val="0"/>
      <w:marRight w:val="0"/>
      <w:marTop w:val="0"/>
      <w:marBottom w:val="0"/>
      <w:divBdr>
        <w:top w:val="none" w:sz="0" w:space="0" w:color="auto"/>
        <w:left w:val="none" w:sz="0" w:space="0" w:color="auto"/>
        <w:bottom w:val="none" w:sz="0" w:space="0" w:color="auto"/>
        <w:right w:val="none" w:sz="0" w:space="0" w:color="auto"/>
      </w:divBdr>
    </w:div>
    <w:div w:id="571475891">
      <w:bodyDiv w:val="1"/>
      <w:marLeft w:val="0"/>
      <w:marRight w:val="0"/>
      <w:marTop w:val="0"/>
      <w:marBottom w:val="0"/>
      <w:divBdr>
        <w:top w:val="none" w:sz="0" w:space="0" w:color="auto"/>
        <w:left w:val="none" w:sz="0" w:space="0" w:color="auto"/>
        <w:bottom w:val="none" w:sz="0" w:space="0" w:color="auto"/>
        <w:right w:val="none" w:sz="0" w:space="0" w:color="auto"/>
      </w:divBdr>
    </w:div>
    <w:div w:id="591428013">
      <w:bodyDiv w:val="1"/>
      <w:marLeft w:val="0"/>
      <w:marRight w:val="0"/>
      <w:marTop w:val="0"/>
      <w:marBottom w:val="0"/>
      <w:divBdr>
        <w:top w:val="none" w:sz="0" w:space="0" w:color="auto"/>
        <w:left w:val="none" w:sz="0" w:space="0" w:color="auto"/>
        <w:bottom w:val="none" w:sz="0" w:space="0" w:color="auto"/>
        <w:right w:val="none" w:sz="0" w:space="0" w:color="auto"/>
      </w:divBdr>
    </w:div>
    <w:div w:id="650014233">
      <w:bodyDiv w:val="1"/>
      <w:marLeft w:val="0"/>
      <w:marRight w:val="0"/>
      <w:marTop w:val="0"/>
      <w:marBottom w:val="0"/>
      <w:divBdr>
        <w:top w:val="none" w:sz="0" w:space="0" w:color="auto"/>
        <w:left w:val="none" w:sz="0" w:space="0" w:color="auto"/>
        <w:bottom w:val="none" w:sz="0" w:space="0" w:color="auto"/>
        <w:right w:val="none" w:sz="0" w:space="0" w:color="auto"/>
      </w:divBdr>
    </w:div>
    <w:div w:id="668559116">
      <w:bodyDiv w:val="1"/>
      <w:marLeft w:val="0"/>
      <w:marRight w:val="0"/>
      <w:marTop w:val="0"/>
      <w:marBottom w:val="0"/>
      <w:divBdr>
        <w:top w:val="none" w:sz="0" w:space="0" w:color="auto"/>
        <w:left w:val="none" w:sz="0" w:space="0" w:color="auto"/>
        <w:bottom w:val="none" w:sz="0" w:space="0" w:color="auto"/>
        <w:right w:val="none" w:sz="0" w:space="0" w:color="auto"/>
      </w:divBdr>
    </w:div>
    <w:div w:id="673991873">
      <w:bodyDiv w:val="1"/>
      <w:marLeft w:val="0"/>
      <w:marRight w:val="0"/>
      <w:marTop w:val="0"/>
      <w:marBottom w:val="0"/>
      <w:divBdr>
        <w:top w:val="none" w:sz="0" w:space="0" w:color="auto"/>
        <w:left w:val="none" w:sz="0" w:space="0" w:color="auto"/>
        <w:bottom w:val="none" w:sz="0" w:space="0" w:color="auto"/>
        <w:right w:val="none" w:sz="0" w:space="0" w:color="auto"/>
      </w:divBdr>
    </w:div>
    <w:div w:id="680200404">
      <w:bodyDiv w:val="1"/>
      <w:marLeft w:val="0"/>
      <w:marRight w:val="0"/>
      <w:marTop w:val="0"/>
      <w:marBottom w:val="0"/>
      <w:divBdr>
        <w:top w:val="none" w:sz="0" w:space="0" w:color="auto"/>
        <w:left w:val="none" w:sz="0" w:space="0" w:color="auto"/>
        <w:bottom w:val="none" w:sz="0" w:space="0" w:color="auto"/>
        <w:right w:val="none" w:sz="0" w:space="0" w:color="auto"/>
      </w:divBdr>
    </w:div>
    <w:div w:id="753362133">
      <w:bodyDiv w:val="1"/>
      <w:marLeft w:val="0"/>
      <w:marRight w:val="0"/>
      <w:marTop w:val="0"/>
      <w:marBottom w:val="0"/>
      <w:divBdr>
        <w:top w:val="none" w:sz="0" w:space="0" w:color="auto"/>
        <w:left w:val="none" w:sz="0" w:space="0" w:color="auto"/>
        <w:bottom w:val="none" w:sz="0" w:space="0" w:color="auto"/>
        <w:right w:val="none" w:sz="0" w:space="0" w:color="auto"/>
      </w:divBdr>
    </w:div>
    <w:div w:id="781189249">
      <w:bodyDiv w:val="1"/>
      <w:marLeft w:val="0"/>
      <w:marRight w:val="0"/>
      <w:marTop w:val="0"/>
      <w:marBottom w:val="0"/>
      <w:divBdr>
        <w:top w:val="none" w:sz="0" w:space="0" w:color="auto"/>
        <w:left w:val="none" w:sz="0" w:space="0" w:color="auto"/>
        <w:bottom w:val="none" w:sz="0" w:space="0" w:color="auto"/>
        <w:right w:val="none" w:sz="0" w:space="0" w:color="auto"/>
      </w:divBdr>
      <w:divsChild>
        <w:div w:id="857547606">
          <w:marLeft w:val="0"/>
          <w:marRight w:val="0"/>
          <w:marTop w:val="0"/>
          <w:marBottom w:val="0"/>
          <w:divBdr>
            <w:top w:val="none" w:sz="0" w:space="0" w:color="auto"/>
            <w:left w:val="none" w:sz="0" w:space="0" w:color="auto"/>
            <w:bottom w:val="none" w:sz="0" w:space="0" w:color="auto"/>
            <w:right w:val="none" w:sz="0" w:space="0" w:color="auto"/>
          </w:divBdr>
          <w:divsChild>
            <w:div w:id="1315767324">
              <w:marLeft w:val="0"/>
              <w:marRight w:val="0"/>
              <w:marTop w:val="0"/>
              <w:marBottom w:val="0"/>
              <w:divBdr>
                <w:top w:val="none" w:sz="0" w:space="0" w:color="auto"/>
                <w:left w:val="none" w:sz="0" w:space="0" w:color="auto"/>
                <w:bottom w:val="none" w:sz="0" w:space="0" w:color="auto"/>
                <w:right w:val="none" w:sz="0" w:space="0" w:color="auto"/>
              </w:divBdr>
              <w:divsChild>
                <w:div w:id="209192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1237">
      <w:bodyDiv w:val="1"/>
      <w:marLeft w:val="0"/>
      <w:marRight w:val="0"/>
      <w:marTop w:val="0"/>
      <w:marBottom w:val="0"/>
      <w:divBdr>
        <w:top w:val="none" w:sz="0" w:space="0" w:color="auto"/>
        <w:left w:val="none" w:sz="0" w:space="0" w:color="auto"/>
        <w:bottom w:val="none" w:sz="0" w:space="0" w:color="auto"/>
        <w:right w:val="none" w:sz="0" w:space="0" w:color="auto"/>
      </w:divBdr>
    </w:div>
    <w:div w:id="807822144">
      <w:bodyDiv w:val="1"/>
      <w:marLeft w:val="0"/>
      <w:marRight w:val="0"/>
      <w:marTop w:val="0"/>
      <w:marBottom w:val="0"/>
      <w:divBdr>
        <w:top w:val="none" w:sz="0" w:space="0" w:color="auto"/>
        <w:left w:val="none" w:sz="0" w:space="0" w:color="auto"/>
        <w:bottom w:val="none" w:sz="0" w:space="0" w:color="auto"/>
        <w:right w:val="none" w:sz="0" w:space="0" w:color="auto"/>
      </w:divBdr>
    </w:div>
    <w:div w:id="809127074">
      <w:bodyDiv w:val="1"/>
      <w:marLeft w:val="0"/>
      <w:marRight w:val="0"/>
      <w:marTop w:val="0"/>
      <w:marBottom w:val="0"/>
      <w:divBdr>
        <w:top w:val="none" w:sz="0" w:space="0" w:color="auto"/>
        <w:left w:val="none" w:sz="0" w:space="0" w:color="auto"/>
        <w:bottom w:val="none" w:sz="0" w:space="0" w:color="auto"/>
        <w:right w:val="none" w:sz="0" w:space="0" w:color="auto"/>
      </w:divBdr>
    </w:div>
    <w:div w:id="822816187">
      <w:bodyDiv w:val="1"/>
      <w:marLeft w:val="0"/>
      <w:marRight w:val="0"/>
      <w:marTop w:val="0"/>
      <w:marBottom w:val="0"/>
      <w:divBdr>
        <w:top w:val="none" w:sz="0" w:space="0" w:color="auto"/>
        <w:left w:val="none" w:sz="0" w:space="0" w:color="auto"/>
        <w:bottom w:val="none" w:sz="0" w:space="0" w:color="auto"/>
        <w:right w:val="none" w:sz="0" w:space="0" w:color="auto"/>
      </w:divBdr>
    </w:div>
    <w:div w:id="874125918">
      <w:bodyDiv w:val="1"/>
      <w:marLeft w:val="0"/>
      <w:marRight w:val="0"/>
      <w:marTop w:val="0"/>
      <w:marBottom w:val="0"/>
      <w:divBdr>
        <w:top w:val="none" w:sz="0" w:space="0" w:color="auto"/>
        <w:left w:val="none" w:sz="0" w:space="0" w:color="auto"/>
        <w:bottom w:val="none" w:sz="0" w:space="0" w:color="auto"/>
        <w:right w:val="none" w:sz="0" w:space="0" w:color="auto"/>
      </w:divBdr>
    </w:div>
    <w:div w:id="898982458">
      <w:bodyDiv w:val="1"/>
      <w:marLeft w:val="0"/>
      <w:marRight w:val="0"/>
      <w:marTop w:val="0"/>
      <w:marBottom w:val="0"/>
      <w:divBdr>
        <w:top w:val="none" w:sz="0" w:space="0" w:color="auto"/>
        <w:left w:val="none" w:sz="0" w:space="0" w:color="auto"/>
        <w:bottom w:val="none" w:sz="0" w:space="0" w:color="auto"/>
        <w:right w:val="none" w:sz="0" w:space="0" w:color="auto"/>
      </w:divBdr>
    </w:div>
    <w:div w:id="909385343">
      <w:bodyDiv w:val="1"/>
      <w:marLeft w:val="0"/>
      <w:marRight w:val="0"/>
      <w:marTop w:val="0"/>
      <w:marBottom w:val="0"/>
      <w:divBdr>
        <w:top w:val="none" w:sz="0" w:space="0" w:color="auto"/>
        <w:left w:val="none" w:sz="0" w:space="0" w:color="auto"/>
        <w:bottom w:val="none" w:sz="0" w:space="0" w:color="auto"/>
        <w:right w:val="none" w:sz="0" w:space="0" w:color="auto"/>
      </w:divBdr>
    </w:div>
    <w:div w:id="909459393">
      <w:bodyDiv w:val="1"/>
      <w:marLeft w:val="0"/>
      <w:marRight w:val="0"/>
      <w:marTop w:val="0"/>
      <w:marBottom w:val="0"/>
      <w:divBdr>
        <w:top w:val="none" w:sz="0" w:space="0" w:color="auto"/>
        <w:left w:val="none" w:sz="0" w:space="0" w:color="auto"/>
        <w:bottom w:val="none" w:sz="0" w:space="0" w:color="auto"/>
        <w:right w:val="none" w:sz="0" w:space="0" w:color="auto"/>
      </w:divBdr>
    </w:div>
    <w:div w:id="960647141">
      <w:bodyDiv w:val="1"/>
      <w:marLeft w:val="0"/>
      <w:marRight w:val="0"/>
      <w:marTop w:val="0"/>
      <w:marBottom w:val="0"/>
      <w:divBdr>
        <w:top w:val="none" w:sz="0" w:space="0" w:color="auto"/>
        <w:left w:val="none" w:sz="0" w:space="0" w:color="auto"/>
        <w:bottom w:val="none" w:sz="0" w:space="0" w:color="auto"/>
        <w:right w:val="none" w:sz="0" w:space="0" w:color="auto"/>
      </w:divBdr>
    </w:div>
    <w:div w:id="980959763">
      <w:bodyDiv w:val="1"/>
      <w:marLeft w:val="0"/>
      <w:marRight w:val="0"/>
      <w:marTop w:val="0"/>
      <w:marBottom w:val="0"/>
      <w:divBdr>
        <w:top w:val="none" w:sz="0" w:space="0" w:color="auto"/>
        <w:left w:val="none" w:sz="0" w:space="0" w:color="auto"/>
        <w:bottom w:val="none" w:sz="0" w:space="0" w:color="auto"/>
        <w:right w:val="none" w:sz="0" w:space="0" w:color="auto"/>
      </w:divBdr>
    </w:div>
    <w:div w:id="993879015">
      <w:bodyDiv w:val="1"/>
      <w:marLeft w:val="0"/>
      <w:marRight w:val="0"/>
      <w:marTop w:val="0"/>
      <w:marBottom w:val="0"/>
      <w:divBdr>
        <w:top w:val="none" w:sz="0" w:space="0" w:color="auto"/>
        <w:left w:val="none" w:sz="0" w:space="0" w:color="auto"/>
        <w:bottom w:val="none" w:sz="0" w:space="0" w:color="auto"/>
        <w:right w:val="none" w:sz="0" w:space="0" w:color="auto"/>
      </w:divBdr>
    </w:div>
    <w:div w:id="1046175682">
      <w:bodyDiv w:val="1"/>
      <w:marLeft w:val="0"/>
      <w:marRight w:val="0"/>
      <w:marTop w:val="0"/>
      <w:marBottom w:val="0"/>
      <w:divBdr>
        <w:top w:val="none" w:sz="0" w:space="0" w:color="auto"/>
        <w:left w:val="none" w:sz="0" w:space="0" w:color="auto"/>
        <w:bottom w:val="none" w:sz="0" w:space="0" w:color="auto"/>
        <w:right w:val="none" w:sz="0" w:space="0" w:color="auto"/>
      </w:divBdr>
    </w:div>
    <w:div w:id="1053769422">
      <w:bodyDiv w:val="1"/>
      <w:marLeft w:val="0"/>
      <w:marRight w:val="0"/>
      <w:marTop w:val="0"/>
      <w:marBottom w:val="0"/>
      <w:divBdr>
        <w:top w:val="none" w:sz="0" w:space="0" w:color="auto"/>
        <w:left w:val="none" w:sz="0" w:space="0" w:color="auto"/>
        <w:bottom w:val="none" w:sz="0" w:space="0" w:color="auto"/>
        <w:right w:val="none" w:sz="0" w:space="0" w:color="auto"/>
      </w:divBdr>
    </w:div>
    <w:div w:id="1070349926">
      <w:bodyDiv w:val="1"/>
      <w:marLeft w:val="0"/>
      <w:marRight w:val="0"/>
      <w:marTop w:val="0"/>
      <w:marBottom w:val="0"/>
      <w:divBdr>
        <w:top w:val="none" w:sz="0" w:space="0" w:color="auto"/>
        <w:left w:val="none" w:sz="0" w:space="0" w:color="auto"/>
        <w:bottom w:val="none" w:sz="0" w:space="0" w:color="auto"/>
        <w:right w:val="none" w:sz="0" w:space="0" w:color="auto"/>
      </w:divBdr>
    </w:div>
    <w:div w:id="1083064855">
      <w:bodyDiv w:val="1"/>
      <w:marLeft w:val="0"/>
      <w:marRight w:val="0"/>
      <w:marTop w:val="0"/>
      <w:marBottom w:val="0"/>
      <w:divBdr>
        <w:top w:val="none" w:sz="0" w:space="0" w:color="auto"/>
        <w:left w:val="none" w:sz="0" w:space="0" w:color="auto"/>
        <w:bottom w:val="none" w:sz="0" w:space="0" w:color="auto"/>
        <w:right w:val="none" w:sz="0" w:space="0" w:color="auto"/>
      </w:divBdr>
    </w:div>
    <w:div w:id="1094129385">
      <w:bodyDiv w:val="1"/>
      <w:marLeft w:val="0"/>
      <w:marRight w:val="0"/>
      <w:marTop w:val="0"/>
      <w:marBottom w:val="0"/>
      <w:divBdr>
        <w:top w:val="none" w:sz="0" w:space="0" w:color="auto"/>
        <w:left w:val="none" w:sz="0" w:space="0" w:color="auto"/>
        <w:bottom w:val="none" w:sz="0" w:space="0" w:color="auto"/>
        <w:right w:val="none" w:sz="0" w:space="0" w:color="auto"/>
      </w:divBdr>
    </w:div>
    <w:div w:id="1100640951">
      <w:bodyDiv w:val="1"/>
      <w:marLeft w:val="0"/>
      <w:marRight w:val="0"/>
      <w:marTop w:val="0"/>
      <w:marBottom w:val="0"/>
      <w:divBdr>
        <w:top w:val="none" w:sz="0" w:space="0" w:color="auto"/>
        <w:left w:val="none" w:sz="0" w:space="0" w:color="auto"/>
        <w:bottom w:val="none" w:sz="0" w:space="0" w:color="auto"/>
        <w:right w:val="none" w:sz="0" w:space="0" w:color="auto"/>
      </w:divBdr>
    </w:div>
    <w:div w:id="1113940193">
      <w:bodyDiv w:val="1"/>
      <w:marLeft w:val="0"/>
      <w:marRight w:val="0"/>
      <w:marTop w:val="0"/>
      <w:marBottom w:val="0"/>
      <w:divBdr>
        <w:top w:val="none" w:sz="0" w:space="0" w:color="auto"/>
        <w:left w:val="none" w:sz="0" w:space="0" w:color="auto"/>
        <w:bottom w:val="none" w:sz="0" w:space="0" w:color="auto"/>
        <w:right w:val="none" w:sz="0" w:space="0" w:color="auto"/>
      </w:divBdr>
    </w:div>
    <w:div w:id="1120958235">
      <w:bodyDiv w:val="1"/>
      <w:marLeft w:val="0"/>
      <w:marRight w:val="0"/>
      <w:marTop w:val="0"/>
      <w:marBottom w:val="0"/>
      <w:divBdr>
        <w:top w:val="none" w:sz="0" w:space="0" w:color="auto"/>
        <w:left w:val="none" w:sz="0" w:space="0" w:color="auto"/>
        <w:bottom w:val="none" w:sz="0" w:space="0" w:color="auto"/>
        <w:right w:val="none" w:sz="0" w:space="0" w:color="auto"/>
      </w:divBdr>
    </w:div>
    <w:div w:id="1134442467">
      <w:bodyDiv w:val="1"/>
      <w:marLeft w:val="0"/>
      <w:marRight w:val="0"/>
      <w:marTop w:val="0"/>
      <w:marBottom w:val="0"/>
      <w:divBdr>
        <w:top w:val="none" w:sz="0" w:space="0" w:color="auto"/>
        <w:left w:val="none" w:sz="0" w:space="0" w:color="auto"/>
        <w:bottom w:val="none" w:sz="0" w:space="0" w:color="auto"/>
        <w:right w:val="none" w:sz="0" w:space="0" w:color="auto"/>
      </w:divBdr>
      <w:divsChild>
        <w:div w:id="237791911">
          <w:marLeft w:val="0"/>
          <w:marRight w:val="0"/>
          <w:marTop w:val="0"/>
          <w:marBottom w:val="0"/>
          <w:divBdr>
            <w:top w:val="none" w:sz="0" w:space="0" w:color="auto"/>
            <w:left w:val="none" w:sz="0" w:space="0" w:color="auto"/>
            <w:bottom w:val="none" w:sz="0" w:space="0" w:color="auto"/>
            <w:right w:val="none" w:sz="0" w:space="0" w:color="auto"/>
          </w:divBdr>
          <w:divsChild>
            <w:div w:id="953950110">
              <w:marLeft w:val="0"/>
              <w:marRight w:val="0"/>
              <w:marTop w:val="0"/>
              <w:marBottom w:val="0"/>
              <w:divBdr>
                <w:top w:val="none" w:sz="0" w:space="0" w:color="auto"/>
                <w:left w:val="none" w:sz="0" w:space="0" w:color="auto"/>
                <w:bottom w:val="none" w:sz="0" w:space="0" w:color="auto"/>
                <w:right w:val="none" w:sz="0" w:space="0" w:color="auto"/>
              </w:divBdr>
              <w:divsChild>
                <w:div w:id="20242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5030">
      <w:bodyDiv w:val="1"/>
      <w:marLeft w:val="0"/>
      <w:marRight w:val="0"/>
      <w:marTop w:val="0"/>
      <w:marBottom w:val="0"/>
      <w:divBdr>
        <w:top w:val="none" w:sz="0" w:space="0" w:color="auto"/>
        <w:left w:val="none" w:sz="0" w:space="0" w:color="auto"/>
        <w:bottom w:val="none" w:sz="0" w:space="0" w:color="auto"/>
        <w:right w:val="none" w:sz="0" w:space="0" w:color="auto"/>
      </w:divBdr>
    </w:div>
    <w:div w:id="1159929447">
      <w:bodyDiv w:val="1"/>
      <w:marLeft w:val="0"/>
      <w:marRight w:val="0"/>
      <w:marTop w:val="0"/>
      <w:marBottom w:val="0"/>
      <w:divBdr>
        <w:top w:val="none" w:sz="0" w:space="0" w:color="auto"/>
        <w:left w:val="none" w:sz="0" w:space="0" w:color="auto"/>
        <w:bottom w:val="none" w:sz="0" w:space="0" w:color="auto"/>
        <w:right w:val="none" w:sz="0" w:space="0" w:color="auto"/>
      </w:divBdr>
    </w:div>
    <w:div w:id="1225531956">
      <w:bodyDiv w:val="1"/>
      <w:marLeft w:val="0"/>
      <w:marRight w:val="0"/>
      <w:marTop w:val="0"/>
      <w:marBottom w:val="0"/>
      <w:divBdr>
        <w:top w:val="none" w:sz="0" w:space="0" w:color="auto"/>
        <w:left w:val="none" w:sz="0" w:space="0" w:color="auto"/>
        <w:bottom w:val="none" w:sz="0" w:space="0" w:color="auto"/>
        <w:right w:val="none" w:sz="0" w:space="0" w:color="auto"/>
      </w:divBdr>
    </w:div>
    <w:div w:id="1272981291">
      <w:bodyDiv w:val="1"/>
      <w:marLeft w:val="0"/>
      <w:marRight w:val="0"/>
      <w:marTop w:val="0"/>
      <w:marBottom w:val="0"/>
      <w:divBdr>
        <w:top w:val="none" w:sz="0" w:space="0" w:color="auto"/>
        <w:left w:val="none" w:sz="0" w:space="0" w:color="auto"/>
        <w:bottom w:val="none" w:sz="0" w:space="0" w:color="auto"/>
        <w:right w:val="none" w:sz="0" w:space="0" w:color="auto"/>
      </w:divBdr>
    </w:div>
    <w:div w:id="1292632222">
      <w:bodyDiv w:val="1"/>
      <w:marLeft w:val="0"/>
      <w:marRight w:val="0"/>
      <w:marTop w:val="0"/>
      <w:marBottom w:val="0"/>
      <w:divBdr>
        <w:top w:val="none" w:sz="0" w:space="0" w:color="auto"/>
        <w:left w:val="none" w:sz="0" w:space="0" w:color="auto"/>
        <w:bottom w:val="none" w:sz="0" w:space="0" w:color="auto"/>
        <w:right w:val="none" w:sz="0" w:space="0" w:color="auto"/>
      </w:divBdr>
    </w:div>
    <w:div w:id="1317732565">
      <w:bodyDiv w:val="1"/>
      <w:marLeft w:val="0"/>
      <w:marRight w:val="0"/>
      <w:marTop w:val="0"/>
      <w:marBottom w:val="0"/>
      <w:divBdr>
        <w:top w:val="none" w:sz="0" w:space="0" w:color="auto"/>
        <w:left w:val="none" w:sz="0" w:space="0" w:color="auto"/>
        <w:bottom w:val="none" w:sz="0" w:space="0" w:color="auto"/>
        <w:right w:val="none" w:sz="0" w:space="0" w:color="auto"/>
      </w:divBdr>
    </w:div>
    <w:div w:id="1320773448">
      <w:bodyDiv w:val="1"/>
      <w:marLeft w:val="0"/>
      <w:marRight w:val="0"/>
      <w:marTop w:val="0"/>
      <w:marBottom w:val="0"/>
      <w:divBdr>
        <w:top w:val="none" w:sz="0" w:space="0" w:color="auto"/>
        <w:left w:val="none" w:sz="0" w:space="0" w:color="auto"/>
        <w:bottom w:val="none" w:sz="0" w:space="0" w:color="auto"/>
        <w:right w:val="none" w:sz="0" w:space="0" w:color="auto"/>
      </w:divBdr>
    </w:div>
    <w:div w:id="1376538467">
      <w:bodyDiv w:val="1"/>
      <w:marLeft w:val="0"/>
      <w:marRight w:val="0"/>
      <w:marTop w:val="0"/>
      <w:marBottom w:val="0"/>
      <w:divBdr>
        <w:top w:val="none" w:sz="0" w:space="0" w:color="auto"/>
        <w:left w:val="none" w:sz="0" w:space="0" w:color="auto"/>
        <w:bottom w:val="none" w:sz="0" w:space="0" w:color="auto"/>
        <w:right w:val="none" w:sz="0" w:space="0" w:color="auto"/>
      </w:divBdr>
    </w:div>
    <w:div w:id="1384407845">
      <w:bodyDiv w:val="1"/>
      <w:marLeft w:val="0"/>
      <w:marRight w:val="0"/>
      <w:marTop w:val="0"/>
      <w:marBottom w:val="0"/>
      <w:divBdr>
        <w:top w:val="none" w:sz="0" w:space="0" w:color="auto"/>
        <w:left w:val="none" w:sz="0" w:space="0" w:color="auto"/>
        <w:bottom w:val="none" w:sz="0" w:space="0" w:color="auto"/>
        <w:right w:val="none" w:sz="0" w:space="0" w:color="auto"/>
      </w:divBdr>
    </w:div>
    <w:div w:id="1395352920">
      <w:bodyDiv w:val="1"/>
      <w:marLeft w:val="0"/>
      <w:marRight w:val="0"/>
      <w:marTop w:val="0"/>
      <w:marBottom w:val="0"/>
      <w:divBdr>
        <w:top w:val="none" w:sz="0" w:space="0" w:color="auto"/>
        <w:left w:val="none" w:sz="0" w:space="0" w:color="auto"/>
        <w:bottom w:val="none" w:sz="0" w:space="0" w:color="auto"/>
        <w:right w:val="none" w:sz="0" w:space="0" w:color="auto"/>
      </w:divBdr>
    </w:div>
    <w:div w:id="1413311067">
      <w:bodyDiv w:val="1"/>
      <w:marLeft w:val="0"/>
      <w:marRight w:val="0"/>
      <w:marTop w:val="0"/>
      <w:marBottom w:val="0"/>
      <w:divBdr>
        <w:top w:val="none" w:sz="0" w:space="0" w:color="auto"/>
        <w:left w:val="none" w:sz="0" w:space="0" w:color="auto"/>
        <w:bottom w:val="none" w:sz="0" w:space="0" w:color="auto"/>
        <w:right w:val="none" w:sz="0" w:space="0" w:color="auto"/>
      </w:divBdr>
    </w:div>
    <w:div w:id="1437139742">
      <w:bodyDiv w:val="1"/>
      <w:marLeft w:val="0"/>
      <w:marRight w:val="0"/>
      <w:marTop w:val="0"/>
      <w:marBottom w:val="0"/>
      <w:divBdr>
        <w:top w:val="none" w:sz="0" w:space="0" w:color="auto"/>
        <w:left w:val="none" w:sz="0" w:space="0" w:color="auto"/>
        <w:bottom w:val="none" w:sz="0" w:space="0" w:color="auto"/>
        <w:right w:val="none" w:sz="0" w:space="0" w:color="auto"/>
      </w:divBdr>
    </w:div>
    <w:div w:id="1450316744">
      <w:bodyDiv w:val="1"/>
      <w:marLeft w:val="0"/>
      <w:marRight w:val="0"/>
      <w:marTop w:val="0"/>
      <w:marBottom w:val="0"/>
      <w:divBdr>
        <w:top w:val="none" w:sz="0" w:space="0" w:color="auto"/>
        <w:left w:val="none" w:sz="0" w:space="0" w:color="auto"/>
        <w:bottom w:val="none" w:sz="0" w:space="0" w:color="auto"/>
        <w:right w:val="none" w:sz="0" w:space="0" w:color="auto"/>
      </w:divBdr>
    </w:div>
    <w:div w:id="1518688190">
      <w:bodyDiv w:val="1"/>
      <w:marLeft w:val="0"/>
      <w:marRight w:val="0"/>
      <w:marTop w:val="0"/>
      <w:marBottom w:val="0"/>
      <w:divBdr>
        <w:top w:val="none" w:sz="0" w:space="0" w:color="auto"/>
        <w:left w:val="none" w:sz="0" w:space="0" w:color="auto"/>
        <w:bottom w:val="none" w:sz="0" w:space="0" w:color="auto"/>
        <w:right w:val="none" w:sz="0" w:space="0" w:color="auto"/>
      </w:divBdr>
    </w:div>
    <w:div w:id="1546218964">
      <w:bodyDiv w:val="1"/>
      <w:marLeft w:val="0"/>
      <w:marRight w:val="0"/>
      <w:marTop w:val="0"/>
      <w:marBottom w:val="0"/>
      <w:divBdr>
        <w:top w:val="none" w:sz="0" w:space="0" w:color="auto"/>
        <w:left w:val="none" w:sz="0" w:space="0" w:color="auto"/>
        <w:bottom w:val="none" w:sz="0" w:space="0" w:color="auto"/>
        <w:right w:val="none" w:sz="0" w:space="0" w:color="auto"/>
      </w:divBdr>
      <w:divsChild>
        <w:div w:id="182399082">
          <w:marLeft w:val="0"/>
          <w:marRight w:val="0"/>
          <w:marTop w:val="0"/>
          <w:marBottom w:val="0"/>
          <w:divBdr>
            <w:top w:val="none" w:sz="0" w:space="0" w:color="auto"/>
            <w:left w:val="none" w:sz="0" w:space="0" w:color="auto"/>
            <w:bottom w:val="none" w:sz="0" w:space="0" w:color="auto"/>
            <w:right w:val="none" w:sz="0" w:space="0" w:color="auto"/>
          </w:divBdr>
          <w:divsChild>
            <w:div w:id="167184712">
              <w:marLeft w:val="0"/>
              <w:marRight w:val="0"/>
              <w:marTop w:val="0"/>
              <w:marBottom w:val="0"/>
              <w:divBdr>
                <w:top w:val="none" w:sz="0" w:space="0" w:color="auto"/>
                <w:left w:val="none" w:sz="0" w:space="0" w:color="auto"/>
                <w:bottom w:val="none" w:sz="0" w:space="0" w:color="auto"/>
                <w:right w:val="none" w:sz="0" w:space="0" w:color="auto"/>
              </w:divBdr>
              <w:divsChild>
                <w:div w:id="60727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82234">
      <w:bodyDiv w:val="1"/>
      <w:marLeft w:val="0"/>
      <w:marRight w:val="0"/>
      <w:marTop w:val="0"/>
      <w:marBottom w:val="0"/>
      <w:divBdr>
        <w:top w:val="none" w:sz="0" w:space="0" w:color="auto"/>
        <w:left w:val="none" w:sz="0" w:space="0" w:color="auto"/>
        <w:bottom w:val="none" w:sz="0" w:space="0" w:color="auto"/>
        <w:right w:val="none" w:sz="0" w:space="0" w:color="auto"/>
      </w:divBdr>
    </w:div>
    <w:div w:id="1594169918">
      <w:bodyDiv w:val="1"/>
      <w:marLeft w:val="0"/>
      <w:marRight w:val="0"/>
      <w:marTop w:val="0"/>
      <w:marBottom w:val="0"/>
      <w:divBdr>
        <w:top w:val="none" w:sz="0" w:space="0" w:color="auto"/>
        <w:left w:val="none" w:sz="0" w:space="0" w:color="auto"/>
        <w:bottom w:val="none" w:sz="0" w:space="0" w:color="auto"/>
        <w:right w:val="none" w:sz="0" w:space="0" w:color="auto"/>
      </w:divBdr>
    </w:div>
    <w:div w:id="1595477997">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81543815">
      <w:bodyDiv w:val="1"/>
      <w:marLeft w:val="0"/>
      <w:marRight w:val="0"/>
      <w:marTop w:val="0"/>
      <w:marBottom w:val="0"/>
      <w:divBdr>
        <w:top w:val="none" w:sz="0" w:space="0" w:color="auto"/>
        <w:left w:val="none" w:sz="0" w:space="0" w:color="auto"/>
        <w:bottom w:val="none" w:sz="0" w:space="0" w:color="auto"/>
        <w:right w:val="none" w:sz="0" w:space="0" w:color="auto"/>
      </w:divBdr>
    </w:div>
    <w:div w:id="1681811151">
      <w:bodyDiv w:val="1"/>
      <w:marLeft w:val="0"/>
      <w:marRight w:val="0"/>
      <w:marTop w:val="0"/>
      <w:marBottom w:val="0"/>
      <w:divBdr>
        <w:top w:val="none" w:sz="0" w:space="0" w:color="auto"/>
        <w:left w:val="none" w:sz="0" w:space="0" w:color="auto"/>
        <w:bottom w:val="none" w:sz="0" w:space="0" w:color="auto"/>
        <w:right w:val="none" w:sz="0" w:space="0" w:color="auto"/>
      </w:divBdr>
    </w:div>
    <w:div w:id="1704403001">
      <w:bodyDiv w:val="1"/>
      <w:marLeft w:val="0"/>
      <w:marRight w:val="0"/>
      <w:marTop w:val="0"/>
      <w:marBottom w:val="0"/>
      <w:divBdr>
        <w:top w:val="none" w:sz="0" w:space="0" w:color="auto"/>
        <w:left w:val="none" w:sz="0" w:space="0" w:color="auto"/>
        <w:bottom w:val="none" w:sz="0" w:space="0" w:color="auto"/>
        <w:right w:val="none" w:sz="0" w:space="0" w:color="auto"/>
      </w:divBdr>
      <w:divsChild>
        <w:div w:id="1987511769">
          <w:marLeft w:val="0"/>
          <w:marRight w:val="0"/>
          <w:marTop w:val="34"/>
          <w:marBottom w:val="34"/>
          <w:divBdr>
            <w:top w:val="none" w:sz="0" w:space="0" w:color="auto"/>
            <w:left w:val="none" w:sz="0" w:space="0" w:color="auto"/>
            <w:bottom w:val="none" w:sz="0" w:space="0" w:color="auto"/>
            <w:right w:val="none" w:sz="0" w:space="0" w:color="auto"/>
          </w:divBdr>
        </w:div>
      </w:divsChild>
    </w:div>
    <w:div w:id="1714888275">
      <w:bodyDiv w:val="1"/>
      <w:marLeft w:val="0"/>
      <w:marRight w:val="0"/>
      <w:marTop w:val="0"/>
      <w:marBottom w:val="0"/>
      <w:divBdr>
        <w:top w:val="none" w:sz="0" w:space="0" w:color="auto"/>
        <w:left w:val="none" w:sz="0" w:space="0" w:color="auto"/>
        <w:bottom w:val="none" w:sz="0" w:space="0" w:color="auto"/>
        <w:right w:val="none" w:sz="0" w:space="0" w:color="auto"/>
      </w:divBdr>
    </w:div>
    <w:div w:id="1736273740">
      <w:bodyDiv w:val="1"/>
      <w:marLeft w:val="0"/>
      <w:marRight w:val="0"/>
      <w:marTop w:val="0"/>
      <w:marBottom w:val="0"/>
      <w:divBdr>
        <w:top w:val="none" w:sz="0" w:space="0" w:color="auto"/>
        <w:left w:val="none" w:sz="0" w:space="0" w:color="auto"/>
        <w:bottom w:val="none" w:sz="0" w:space="0" w:color="auto"/>
        <w:right w:val="none" w:sz="0" w:space="0" w:color="auto"/>
      </w:divBdr>
    </w:div>
    <w:div w:id="1740859783">
      <w:bodyDiv w:val="1"/>
      <w:marLeft w:val="0"/>
      <w:marRight w:val="0"/>
      <w:marTop w:val="0"/>
      <w:marBottom w:val="0"/>
      <w:divBdr>
        <w:top w:val="none" w:sz="0" w:space="0" w:color="auto"/>
        <w:left w:val="none" w:sz="0" w:space="0" w:color="auto"/>
        <w:bottom w:val="none" w:sz="0" w:space="0" w:color="auto"/>
        <w:right w:val="none" w:sz="0" w:space="0" w:color="auto"/>
      </w:divBdr>
    </w:div>
    <w:div w:id="1741825623">
      <w:bodyDiv w:val="1"/>
      <w:marLeft w:val="0"/>
      <w:marRight w:val="0"/>
      <w:marTop w:val="0"/>
      <w:marBottom w:val="0"/>
      <w:divBdr>
        <w:top w:val="none" w:sz="0" w:space="0" w:color="auto"/>
        <w:left w:val="none" w:sz="0" w:space="0" w:color="auto"/>
        <w:bottom w:val="none" w:sz="0" w:space="0" w:color="auto"/>
        <w:right w:val="none" w:sz="0" w:space="0" w:color="auto"/>
      </w:divBdr>
    </w:div>
    <w:div w:id="1773088009">
      <w:bodyDiv w:val="1"/>
      <w:marLeft w:val="0"/>
      <w:marRight w:val="0"/>
      <w:marTop w:val="0"/>
      <w:marBottom w:val="0"/>
      <w:divBdr>
        <w:top w:val="none" w:sz="0" w:space="0" w:color="auto"/>
        <w:left w:val="none" w:sz="0" w:space="0" w:color="auto"/>
        <w:bottom w:val="none" w:sz="0" w:space="0" w:color="auto"/>
        <w:right w:val="none" w:sz="0" w:space="0" w:color="auto"/>
      </w:divBdr>
    </w:div>
    <w:div w:id="1789004321">
      <w:bodyDiv w:val="1"/>
      <w:marLeft w:val="0"/>
      <w:marRight w:val="0"/>
      <w:marTop w:val="0"/>
      <w:marBottom w:val="0"/>
      <w:divBdr>
        <w:top w:val="none" w:sz="0" w:space="0" w:color="auto"/>
        <w:left w:val="none" w:sz="0" w:space="0" w:color="auto"/>
        <w:bottom w:val="none" w:sz="0" w:space="0" w:color="auto"/>
        <w:right w:val="none" w:sz="0" w:space="0" w:color="auto"/>
      </w:divBdr>
    </w:div>
    <w:div w:id="1793396652">
      <w:bodyDiv w:val="1"/>
      <w:marLeft w:val="0"/>
      <w:marRight w:val="0"/>
      <w:marTop w:val="0"/>
      <w:marBottom w:val="0"/>
      <w:divBdr>
        <w:top w:val="none" w:sz="0" w:space="0" w:color="auto"/>
        <w:left w:val="none" w:sz="0" w:space="0" w:color="auto"/>
        <w:bottom w:val="none" w:sz="0" w:space="0" w:color="auto"/>
        <w:right w:val="none" w:sz="0" w:space="0" w:color="auto"/>
      </w:divBdr>
    </w:div>
    <w:div w:id="1793669348">
      <w:bodyDiv w:val="1"/>
      <w:marLeft w:val="0"/>
      <w:marRight w:val="0"/>
      <w:marTop w:val="0"/>
      <w:marBottom w:val="0"/>
      <w:divBdr>
        <w:top w:val="none" w:sz="0" w:space="0" w:color="auto"/>
        <w:left w:val="none" w:sz="0" w:space="0" w:color="auto"/>
        <w:bottom w:val="none" w:sz="0" w:space="0" w:color="auto"/>
        <w:right w:val="none" w:sz="0" w:space="0" w:color="auto"/>
      </w:divBdr>
    </w:div>
    <w:div w:id="1812752576">
      <w:bodyDiv w:val="1"/>
      <w:marLeft w:val="0"/>
      <w:marRight w:val="0"/>
      <w:marTop w:val="0"/>
      <w:marBottom w:val="0"/>
      <w:divBdr>
        <w:top w:val="none" w:sz="0" w:space="0" w:color="auto"/>
        <w:left w:val="none" w:sz="0" w:space="0" w:color="auto"/>
        <w:bottom w:val="none" w:sz="0" w:space="0" w:color="auto"/>
        <w:right w:val="none" w:sz="0" w:space="0" w:color="auto"/>
      </w:divBdr>
    </w:div>
    <w:div w:id="1848865429">
      <w:bodyDiv w:val="1"/>
      <w:marLeft w:val="0"/>
      <w:marRight w:val="0"/>
      <w:marTop w:val="0"/>
      <w:marBottom w:val="0"/>
      <w:divBdr>
        <w:top w:val="none" w:sz="0" w:space="0" w:color="auto"/>
        <w:left w:val="none" w:sz="0" w:space="0" w:color="auto"/>
        <w:bottom w:val="none" w:sz="0" w:space="0" w:color="auto"/>
        <w:right w:val="none" w:sz="0" w:space="0" w:color="auto"/>
      </w:divBdr>
      <w:divsChild>
        <w:div w:id="2064671016">
          <w:marLeft w:val="0"/>
          <w:marRight w:val="0"/>
          <w:marTop w:val="0"/>
          <w:marBottom w:val="0"/>
          <w:divBdr>
            <w:top w:val="none" w:sz="0" w:space="0" w:color="auto"/>
            <w:left w:val="none" w:sz="0" w:space="0" w:color="auto"/>
            <w:bottom w:val="none" w:sz="0" w:space="0" w:color="auto"/>
            <w:right w:val="none" w:sz="0" w:space="0" w:color="auto"/>
          </w:divBdr>
          <w:divsChild>
            <w:div w:id="861288428">
              <w:marLeft w:val="0"/>
              <w:marRight w:val="0"/>
              <w:marTop w:val="0"/>
              <w:marBottom w:val="0"/>
              <w:divBdr>
                <w:top w:val="none" w:sz="0" w:space="0" w:color="auto"/>
                <w:left w:val="none" w:sz="0" w:space="0" w:color="auto"/>
                <w:bottom w:val="none" w:sz="0" w:space="0" w:color="auto"/>
                <w:right w:val="none" w:sz="0" w:space="0" w:color="auto"/>
              </w:divBdr>
              <w:divsChild>
                <w:div w:id="17577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343700">
      <w:bodyDiv w:val="1"/>
      <w:marLeft w:val="0"/>
      <w:marRight w:val="0"/>
      <w:marTop w:val="0"/>
      <w:marBottom w:val="0"/>
      <w:divBdr>
        <w:top w:val="none" w:sz="0" w:space="0" w:color="auto"/>
        <w:left w:val="none" w:sz="0" w:space="0" w:color="auto"/>
        <w:bottom w:val="none" w:sz="0" w:space="0" w:color="auto"/>
        <w:right w:val="none" w:sz="0" w:space="0" w:color="auto"/>
      </w:divBdr>
    </w:div>
    <w:div w:id="1870608076">
      <w:bodyDiv w:val="1"/>
      <w:marLeft w:val="0"/>
      <w:marRight w:val="0"/>
      <w:marTop w:val="0"/>
      <w:marBottom w:val="0"/>
      <w:divBdr>
        <w:top w:val="none" w:sz="0" w:space="0" w:color="auto"/>
        <w:left w:val="none" w:sz="0" w:space="0" w:color="auto"/>
        <w:bottom w:val="none" w:sz="0" w:space="0" w:color="auto"/>
        <w:right w:val="none" w:sz="0" w:space="0" w:color="auto"/>
      </w:divBdr>
    </w:div>
    <w:div w:id="1872718490">
      <w:bodyDiv w:val="1"/>
      <w:marLeft w:val="0"/>
      <w:marRight w:val="0"/>
      <w:marTop w:val="0"/>
      <w:marBottom w:val="0"/>
      <w:divBdr>
        <w:top w:val="none" w:sz="0" w:space="0" w:color="auto"/>
        <w:left w:val="none" w:sz="0" w:space="0" w:color="auto"/>
        <w:bottom w:val="none" w:sz="0" w:space="0" w:color="auto"/>
        <w:right w:val="none" w:sz="0" w:space="0" w:color="auto"/>
      </w:divBdr>
    </w:div>
    <w:div w:id="1895694489">
      <w:bodyDiv w:val="1"/>
      <w:marLeft w:val="0"/>
      <w:marRight w:val="0"/>
      <w:marTop w:val="0"/>
      <w:marBottom w:val="0"/>
      <w:divBdr>
        <w:top w:val="none" w:sz="0" w:space="0" w:color="auto"/>
        <w:left w:val="none" w:sz="0" w:space="0" w:color="auto"/>
        <w:bottom w:val="none" w:sz="0" w:space="0" w:color="auto"/>
        <w:right w:val="none" w:sz="0" w:space="0" w:color="auto"/>
      </w:divBdr>
    </w:div>
    <w:div w:id="1897931029">
      <w:bodyDiv w:val="1"/>
      <w:marLeft w:val="0"/>
      <w:marRight w:val="0"/>
      <w:marTop w:val="0"/>
      <w:marBottom w:val="0"/>
      <w:divBdr>
        <w:top w:val="none" w:sz="0" w:space="0" w:color="auto"/>
        <w:left w:val="none" w:sz="0" w:space="0" w:color="auto"/>
        <w:bottom w:val="none" w:sz="0" w:space="0" w:color="auto"/>
        <w:right w:val="none" w:sz="0" w:space="0" w:color="auto"/>
      </w:divBdr>
    </w:div>
    <w:div w:id="1983197271">
      <w:bodyDiv w:val="1"/>
      <w:marLeft w:val="0"/>
      <w:marRight w:val="0"/>
      <w:marTop w:val="0"/>
      <w:marBottom w:val="0"/>
      <w:divBdr>
        <w:top w:val="none" w:sz="0" w:space="0" w:color="auto"/>
        <w:left w:val="none" w:sz="0" w:space="0" w:color="auto"/>
        <w:bottom w:val="none" w:sz="0" w:space="0" w:color="auto"/>
        <w:right w:val="none" w:sz="0" w:space="0" w:color="auto"/>
      </w:divBdr>
    </w:div>
    <w:div w:id="1987078945">
      <w:bodyDiv w:val="1"/>
      <w:marLeft w:val="0"/>
      <w:marRight w:val="0"/>
      <w:marTop w:val="0"/>
      <w:marBottom w:val="0"/>
      <w:divBdr>
        <w:top w:val="none" w:sz="0" w:space="0" w:color="auto"/>
        <w:left w:val="none" w:sz="0" w:space="0" w:color="auto"/>
        <w:bottom w:val="none" w:sz="0" w:space="0" w:color="auto"/>
        <w:right w:val="none" w:sz="0" w:space="0" w:color="auto"/>
      </w:divBdr>
    </w:div>
    <w:div w:id="1992364153">
      <w:bodyDiv w:val="1"/>
      <w:marLeft w:val="0"/>
      <w:marRight w:val="0"/>
      <w:marTop w:val="0"/>
      <w:marBottom w:val="0"/>
      <w:divBdr>
        <w:top w:val="none" w:sz="0" w:space="0" w:color="auto"/>
        <w:left w:val="none" w:sz="0" w:space="0" w:color="auto"/>
        <w:bottom w:val="none" w:sz="0" w:space="0" w:color="auto"/>
        <w:right w:val="none" w:sz="0" w:space="0" w:color="auto"/>
      </w:divBdr>
      <w:divsChild>
        <w:div w:id="1507017055">
          <w:marLeft w:val="0"/>
          <w:marRight w:val="0"/>
          <w:marTop w:val="0"/>
          <w:marBottom w:val="0"/>
          <w:divBdr>
            <w:top w:val="none" w:sz="0" w:space="0" w:color="auto"/>
            <w:left w:val="none" w:sz="0" w:space="0" w:color="auto"/>
            <w:bottom w:val="none" w:sz="0" w:space="0" w:color="auto"/>
            <w:right w:val="none" w:sz="0" w:space="0" w:color="auto"/>
          </w:divBdr>
          <w:divsChild>
            <w:div w:id="605236246">
              <w:marLeft w:val="0"/>
              <w:marRight w:val="0"/>
              <w:marTop w:val="0"/>
              <w:marBottom w:val="0"/>
              <w:divBdr>
                <w:top w:val="none" w:sz="0" w:space="0" w:color="auto"/>
                <w:left w:val="none" w:sz="0" w:space="0" w:color="auto"/>
                <w:bottom w:val="none" w:sz="0" w:space="0" w:color="auto"/>
                <w:right w:val="none" w:sz="0" w:space="0" w:color="auto"/>
              </w:divBdr>
              <w:divsChild>
                <w:div w:id="12443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5818">
      <w:bodyDiv w:val="1"/>
      <w:marLeft w:val="0"/>
      <w:marRight w:val="0"/>
      <w:marTop w:val="0"/>
      <w:marBottom w:val="0"/>
      <w:divBdr>
        <w:top w:val="none" w:sz="0" w:space="0" w:color="auto"/>
        <w:left w:val="none" w:sz="0" w:space="0" w:color="auto"/>
        <w:bottom w:val="none" w:sz="0" w:space="0" w:color="auto"/>
        <w:right w:val="none" w:sz="0" w:space="0" w:color="auto"/>
      </w:divBdr>
    </w:div>
    <w:div w:id="2003388033">
      <w:bodyDiv w:val="1"/>
      <w:marLeft w:val="0"/>
      <w:marRight w:val="0"/>
      <w:marTop w:val="0"/>
      <w:marBottom w:val="0"/>
      <w:divBdr>
        <w:top w:val="none" w:sz="0" w:space="0" w:color="auto"/>
        <w:left w:val="none" w:sz="0" w:space="0" w:color="auto"/>
        <w:bottom w:val="none" w:sz="0" w:space="0" w:color="auto"/>
        <w:right w:val="none" w:sz="0" w:space="0" w:color="auto"/>
      </w:divBdr>
      <w:divsChild>
        <w:div w:id="297806470">
          <w:marLeft w:val="0"/>
          <w:marRight w:val="0"/>
          <w:marTop w:val="0"/>
          <w:marBottom w:val="0"/>
          <w:divBdr>
            <w:top w:val="none" w:sz="0" w:space="0" w:color="auto"/>
            <w:left w:val="none" w:sz="0" w:space="0" w:color="auto"/>
            <w:bottom w:val="none" w:sz="0" w:space="0" w:color="auto"/>
            <w:right w:val="none" w:sz="0" w:space="0" w:color="auto"/>
          </w:divBdr>
          <w:divsChild>
            <w:div w:id="371156309">
              <w:marLeft w:val="0"/>
              <w:marRight w:val="0"/>
              <w:marTop w:val="0"/>
              <w:marBottom w:val="0"/>
              <w:divBdr>
                <w:top w:val="none" w:sz="0" w:space="0" w:color="auto"/>
                <w:left w:val="none" w:sz="0" w:space="0" w:color="auto"/>
                <w:bottom w:val="none" w:sz="0" w:space="0" w:color="auto"/>
                <w:right w:val="none" w:sz="0" w:space="0" w:color="auto"/>
              </w:divBdr>
              <w:divsChild>
                <w:div w:id="1711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8931">
      <w:bodyDiv w:val="1"/>
      <w:marLeft w:val="0"/>
      <w:marRight w:val="0"/>
      <w:marTop w:val="0"/>
      <w:marBottom w:val="0"/>
      <w:divBdr>
        <w:top w:val="none" w:sz="0" w:space="0" w:color="auto"/>
        <w:left w:val="none" w:sz="0" w:space="0" w:color="auto"/>
        <w:bottom w:val="none" w:sz="0" w:space="0" w:color="auto"/>
        <w:right w:val="none" w:sz="0" w:space="0" w:color="auto"/>
      </w:divBdr>
    </w:div>
    <w:div w:id="2026400172">
      <w:bodyDiv w:val="1"/>
      <w:marLeft w:val="0"/>
      <w:marRight w:val="0"/>
      <w:marTop w:val="0"/>
      <w:marBottom w:val="0"/>
      <w:divBdr>
        <w:top w:val="none" w:sz="0" w:space="0" w:color="auto"/>
        <w:left w:val="none" w:sz="0" w:space="0" w:color="auto"/>
        <w:bottom w:val="none" w:sz="0" w:space="0" w:color="auto"/>
        <w:right w:val="none" w:sz="0" w:space="0" w:color="auto"/>
      </w:divBdr>
    </w:div>
    <w:div w:id="2039232004">
      <w:bodyDiv w:val="1"/>
      <w:marLeft w:val="0"/>
      <w:marRight w:val="0"/>
      <w:marTop w:val="0"/>
      <w:marBottom w:val="0"/>
      <w:divBdr>
        <w:top w:val="none" w:sz="0" w:space="0" w:color="auto"/>
        <w:left w:val="none" w:sz="0" w:space="0" w:color="auto"/>
        <w:bottom w:val="none" w:sz="0" w:space="0" w:color="auto"/>
        <w:right w:val="none" w:sz="0" w:space="0" w:color="auto"/>
      </w:divBdr>
    </w:div>
    <w:div w:id="213031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45C3D2-B68C-4FA0-A427-06CA0B58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4225</Words>
  <Characters>24932</Characters>
  <Application>Microsoft Office Word</Application>
  <DocSecurity>0</DocSecurity>
  <Lines>207</Lines>
  <Paragraphs>58</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Hewlett-Packard Company</Company>
  <LinksUpToDate>false</LinksUpToDate>
  <CharactersWithSpaces>29099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Radim Jančálek</dc:creator>
  <cp:lastModifiedBy>MUDr. Tomáš Kazda, Ph.D.</cp:lastModifiedBy>
  <cp:revision>67</cp:revision>
  <cp:lastPrinted>2019-06-26T10:10:00Z</cp:lastPrinted>
  <dcterms:created xsi:type="dcterms:W3CDTF">2019-06-26T10:51:00Z</dcterms:created>
  <dcterms:modified xsi:type="dcterms:W3CDTF">2022-03-15T21:40:00Z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