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BD4B" w14:textId="77777777" w:rsidR="00821627" w:rsidRPr="00821627" w:rsidRDefault="00821627" w:rsidP="00821627">
      <w:pPr>
        <w:spacing w:line="360" w:lineRule="auto"/>
        <w:rPr>
          <w:rFonts w:ascii="Times New Roman" w:hAnsi="Times New Roman" w:cs="Times New Roman"/>
          <w:b/>
        </w:rPr>
      </w:pPr>
      <w:r w:rsidRPr="00821627">
        <w:rPr>
          <w:rFonts w:ascii="Times New Roman" w:hAnsi="Times New Roman" w:cs="Times New Roman"/>
          <w:b/>
        </w:rPr>
        <w:t xml:space="preserve">MGMT </w:t>
      </w:r>
      <w:proofErr w:type="spellStart"/>
      <w:r w:rsidRPr="00821627">
        <w:rPr>
          <w:rFonts w:ascii="Times New Roman" w:hAnsi="Times New Roman" w:cs="Times New Roman"/>
          <w:b/>
        </w:rPr>
        <w:t>Promoter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Methylation</w:t>
      </w:r>
      <w:proofErr w:type="spellEnd"/>
      <w:r w:rsidRPr="00821627">
        <w:rPr>
          <w:rFonts w:ascii="Times New Roman" w:hAnsi="Times New Roman" w:cs="Times New Roman"/>
          <w:b/>
        </w:rPr>
        <w:t xml:space="preserve"> Status </w:t>
      </w:r>
      <w:proofErr w:type="spellStart"/>
      <w:r w:rsidRPr="00821627">
        <w:rPr>
          <w:rFonts w:ascii="Times New Roman" w:hAnsi="Times New Roman" w:cs="Times New Roman"/>
          <w:b/>
        </w:rPr>
        <w:t>Independently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Predicts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Overall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Survival</w:t>
      </w:r>
      <w:proofErr w:type="spellEnd"/>
      <w:r w:rsidRPr="00821627">
        <w:rPr>
          <w:rFonts w:ascii="Times New Roman" w:hAnsi="Times New Roman" w:cs="Times New Roman"/>
          <w:b/>
        </w:rPr>
        <w:t xml:space="preserve"> in </w:t>
      </w:r>
      <w:proofErr w:type="spellStart"/>
      <w:r w:rsidRPr="00821627">
        <w:rPr>
          <w:rFonts w:ascii="Times New Roman" w:hAnsi="Times New Roman" w:cs="Times New Roman"/>
          <w:b/>
        </w:rPr>
        <w:t>Anaplastic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Astrocytoma</w:t>
      </w:r>
      <w:proofErr w:type="spellEnd"/>
      <w:r w:rsidRPr="00821627">
        <w:rPr>
          <w:rFonts w:ascii="Times New Roman" w:hAnsi="Times New Roman" w:cs="Times New Roman"/>
          <w:b/>
        </w:rPr>
        <w:t xml:space="preserve"> in NRG </w:t>
      </w:r>
      <w:proofErr w:type="spellStart"/>
      <w:r w:rsidRPr="00821627">
        <w:rPr>
          <w:rFonts w:ascii="Times New Roman" w:hAnsi="Times New Roman" w:cs="Times New Roman"/>
          <w:b/>
        </w:rPr>
        <w:t>Oncology</w:t>
      </w:r>
      <w:proofErr w:type="spellEnd"/>
      <w:r w:rsidRPr="00821627">
        <w:rPr>
          <w:rFonts w:ascii="Times New Roman" w:hAnsi="Times New Roman" w:cs="Times New Roman"/>
          <w:b/>
        </w:rPr>
        <w:t xml:space="preserve">/RTOG 9813: A </w:t>
      </w:r>
      <w:proofErr w:type="spellStart"/>
      <w:r w:rsidRPr="00821627">
        <w:rPr>
          <w:rFonts w:ascii="Times New Roman" w:hAnsi="Times New Roman" w:cs="Times New Roman"/>
          <w:b/>
        </w:rPr>
        <w:t>Phase</w:t>
      </w:r>
      <w:proofErr w:type="spellEnd"/>
      <w:r w:rsidRPr="00821627">
        <w:rPr>
          <w:rFonts w:ascii="Times New Roman" w:hAnsi="Times New Roman" w:cs="Times New Roman"/>
          <w:b/>
        </w:rPr>
        <w:t xml:space="preserve"> 3 Trial </w:t>
      </w:r>
      <w:proofErr w:type="spellStart"/>
      <w:r w:rsidRPr="00821627">
        <w:rPr>
          <w:rFonts w:ascii="Times New Roman" w:hAnsi="Times New Roman" w:cs="Times New Roman"/>
          <w:b/>
        </w:rPr>
        <w:t>of</w:t>
      </w:r>
      <w:proofErr w:type="spellEnd"/>
      <w:r w:rsidRPr="00821627">
        <w:rPr>
          <w:rFonts w:ascii="Times New Roman" w:hAnsi="Times New Roman" w:cs="Times New Roman"/>
          <w:b/>
        </w:rPr>
        <w:t xml:space="preserve"> </w:t>
      </w:r>
      <w:proofErr w:type="spellStart"/>
      <w:r w:rsidRPr="00821627">
        <w:rPr>
          <w:rFonts w:ascii="Times New Roman" w:hAnsi="Times New Roman" w:cs="Times New Roman"/>
          <w:b/>
        </w:rPr>
        <w:t>Radiation</w:t>
      </w:r>
      <w:proofErr w:type="spellEnd"/>
      <w:r w:rsidRPr="00821627">
        <w:rPr>
          <w:rFonts w:ascii="Times New Roman" w:hAnsi="Times New Roman" w:cs="Times New Roman"/>
          <w:b/>
        </w:rPr>
        <w:t xml:space="preserve"> Plus </w:t>
      </w:r>
      <w:proofErr w:type="spellStart"/>
      <w:r w:rsidRPr="00821627">
        <w:rPr>
          <w:rFonts w:ascii="Times New Roman" w:hAnsi="Times New Roman" w:cs="Times New Roman"/>
          <w:b/>
        </w:rPr>
        <w:t>Nitrosourea</w:t>
      </w:r>
      <w:proofErr w:type="spellEnd"/>
      <w:r w:rsidRPr="00821627">
        <w:rPr>
          <w:rFonts w:ascii="Times New Roman" w:hAnsi="Times New Roman" w:cs="Times New Roman"/>
          <w:b/>
        </w:rPr>
        <w:t xml:space="preserve"> Versus </w:t>
      </w:r>
      <w:proofErr w:type="spellStart"/>
      <w:r w:rsidRPr="00821627">
        <w:rPr>
          <w:rFonts w:ascii="Times New Roman" w:hAnsi="Times New Roman" w:cs="Times New Roman"/>
          <w:b/>
        </w:rPr>
        <w:t>Radiation</w:t>
      </w:r>
      <w:proofErr w:type="spellEnd"/>
      <w:r w:rsidRPr="00821627">
        <w:rPr>
          <w:rFonts w:ascii="Times New Roman" w:hAnsi="Times New Roman" w:cs="Times New Roman"/>
          <w:b/>
        </w:rPr>
        <w:t xml:space="preserve"> Plus </w:t>
      </w:r>
      <w:proofErr w:type="spellStart"/>
      <w:r w:rsidRPr="00821627">
        <w:rPr>
          <w:rFonts w:ascii="Times New Roman" w:hAnsi="Times New Roman" w:cs="Times New Roman"/>
          <w:b/>
        </w:rPr>
        <w:t>Temozolomide</w:t>
      </w:r>
      <w:proofErr w:type="spellEnd"/>
    </w:p>
    <w:p w14:paraId="3425C508" w14:textId="77777777" w:rsidR="00821627" w:rsidRPr="00821627" w:rsidRDefault="00821627" w:rsidP="00821627">
      <w:pPr>
        <w:rPr>
          <w:rFonts w:ascii="Times New Roman" w:hAnsi="Times New Roman" w:cs="Times New Roman"/>
          <w:sz w:val="20"/>
          <w:szCs w:val="20"/>
        </w:rPr>
      </w:pPr>
    </w:p>
    <w:p w14:paraId="28049521" w14:textId="77777777" w:rsidR="00821627" w:rsidRDefault="00821627" w:rsidP="008216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1627">
        <w:rPr>
          <w:rFonts w:ascii="Times New Roman" w:hAnsi="Times New Roman" w:cs="Times New Roman"/>
          <w:sz w:val="20"/>
          <w:szCs w:val="20"/>
        </w:rPr>
        <w:t>E.H. Bell,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21627">
        <w:rPr>
          <w:rFonts w:ascii="Times New Roman" w:hAnsi="Times New Roman" w:cs="Times New Roman"/>
          <w:sz w:val="20"/>
          <w:szCs w:val="20"/>
        </w:rPr>
        <w:t xml:space="preserve"> M. Won,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21627">
        <w:rPr>
          <w:rFonts w:ascii="Times New Roman" w:hAnsi="Times New Roman" w:cs="Times New Roman"/>
          <w:sz w:val="20"/>
          <w:szCs w:val="20"/>
        </w:rPr>
        <w:t xml:space="preserve"> S.M. Chang,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21627">
        <w:rPr>
          <w:rFonts w:ascii="Times New Roman" w:hAnsi="Times New Roman" w:cs="Times New Roman"/>
          <w:sz w:val="20"/>
          <w:szCs w:val="20"/>
        </w:rPr>
        <w:t xml:space="preserve"> G. Cairncross,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21627">
        <w:rPr>
          <w:rFonts w:ascii="Times New Roman" w:hAnsi="Times New Roman" w:cs="Times New Roman"/>
          <w:sz w:val="20"/>
          <w:szCs w:val="20"/>
        </w:rPr>
        <w:t xml:space="preserve"> M. Gilbert,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21627">
        <w:rPr>
          <w:rFonts w:ascii="Times New Roman" w:hAnsi="Times New Roman" w:cs="Times New Roman"/>
          <w:sz w:val="20"/>
          <w:szCs w:val="20"/>
        </w:rPr>
        <w:t>J.P. Bahary,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21627">
        <w:rPr>
          <w:rFonts w:ascii="Times New Roman" w:hAnsi="Times New Roman" w:cs="Times New Roman"/>
          <w:sz w:val="20"/>
          <w:szCs w:val="20"/>
        </w:rPr>
        <w:t xml:space="preserve"> C. Dolinskas,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821627">
        <w:rPr>
          <w:rFonts w:ascii="Times New Roman" w:hAnsi="Times New Roman" w:cs="Times New Roman"/>
          <w:sz w:val="20"/>
          <w:szCs w:val="20"/>
        </w:rPr>
        <w:t xml:space="preserve"> K. Aldape,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821627">
        <w:rPr>
          <w:rFonts w:ascii="Times New Roman" w:hAnsi="Times New Roman" w:cs="Times New Roman"/>
          <w:sz w:val="20"/>
          <w:szCs w:val="20"/>
        </w:rPr>
        <w:t xml:space="preserve"> J. McElroy,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821627">
        <w:rPr>
          <w:rFonts w:ascii="Times New Roman" w:hAnsi="Times New Roman" w:cs="Times New Roman"/>
          <w:sz w:val="20"/>
          <w:szCs w:val="20"/>
        </w:rPr>
        <w:t xml:space="preserve"> J. Fleming,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21627">
        <w:rPr>
          <w:rFonts w:ascii="Times New Roman" w:hAnsi="Times New Roman" w:cs="Times New Roman"/>
          <w:sz w:val="20"/>
          <w:szCs w:val="20"/>
        </w:rPr>
        <w:t>L. Ashby,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821627">
        <w:rPr>
          <w:rFonts w:ascii="Times New Roman" w:hAnsi="Times New Roman" w:cs="Times New Roman"/>
          <w:sz w:val="20"/>
          <w:szCs w:val="20"/>
        </w:rPr>
        <w:t xml:space="preserve"> H.A. Shih,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821627">
        <w:rPr>
          <w:rFonts w:ascii="Times New Roman" w:hAnsi="Times New Roman" w:cs="Times New Roman"/>
          <w:sz w:val="20"/>
          <w:szCs w:val="20"/>
        </w:rPr>
        <w:t xml:space="preserve"> G.K. Hunter,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821627">
        <w:rPr>
          <w:rFonts w:ascii="Times New Roman" w:hAnsi="Times New Roman" w:cs="Times New Roman"/>
          <w:sz w:val="20"/>
          <w:szCs w:val="20"/>
        </w:rPr>
        <w:t xml:space="preserve"> W.A. Yung,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821627">
        <w:rPr>
          <w:rFonts w:ascii="Times New Roman" w:hAnsi="Times New Roman" w:cs="Times New Roman"/>
          <w:sz w:val="20"/>
          <w:szCs w:val="20"/>
        </w:rPr>
        <w:t xml:space="preserve"> S.P. Howard,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21627">
        <w:rPr>
          <w:rFonts w:ascii="Times New Roman" w:hAnsi="Times New Roman" w:cs="Times New Roman"/>
          <w:sz w:val="20"/>
          <w:szCs w:val="20"/>
        </w:rPr>
        <w:t>K. Belanger,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821627">
        <w:rPr>
          <w:rFonts w:ascii="Times New Roman" w:hAnsi="Times New Roman" w:cs="Times New Roman"/>
          <w:sz w:val="20"/>
          <w:szCs w:val="20"/>
        </w:rPr>
        <w:t xml:space="preserve"> M.L. Siker,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821627">
        <w:rPr>
          <w:rFonts w:ascii="Times New Roman" w:hAnsi="Times New Roman" w:cs="Times New Roman"/>
          <w:sz w:val="20"/>
          <w:szCs w:val="20"/>
        </w:rPr>
        <w:t xml:space="preserve"> B.D. Kavanagh,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821627">
        <w:rPr>
          <w:rFonts w:ascii="Times New Roman" w:hAnsi="Times New Roman" w:cs="Times New Roman"/>
          <w:sz w:val="20"/>
          <w:szCs w:val="20"/>
        </w:rPr>
        <w:t xml:space="preserve"> Y. Chen,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21627">
        <w:rPr>
          <w:rFonts w:ascii="Times New Roman" w:hAnsi="Times New Roman" w:cs="Times New Roman"/>
          <w:sz w:val="20"/>
          <w:szCs w:val="20"/>
        </w:rPr>
        <w:t>and A. Chakravarti</w:t>
      </w:r>
      <w:r w:rsidRPr="0082162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21627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2D9E8EE" w14:textId="77777777" w:rsidR="00821627" w:rsidRDefault="00821627" w:rsidP="00821627">
      <w:pPr>
        <w:rPr>
          <w:rFonts w:ascii="Times New Roman" w:hAnsi="Times New Roman" w:cs="Times New Roman"/>
          <w:sz w:val="20"/>
          <w:szCs w:val="20"/>
        </w:rPr>
      </w:pPr>
    </w:p>
    <w:p w14:paraId="0CC9D96A" w14:textId="77777777" w:rsidR="00821627" w:rsidRPr="00821627" w:rsidRDefault="00821627" w:rsidP="0082162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The Ohio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State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University,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Columbus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OH,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NRG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Statistics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and Data Management Center, Philadelphia, PA,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San Francisco, San Francisco, CA,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Calgary, Calgary, AB,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Neuro-Oncology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Branch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National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Institute, NIH,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Bethesda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MD,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Universite de Montreal, Montreal, QC,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Pennsylvania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Philadelphia, PA,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Princess Margaret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Toronto, ON,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The Ohio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State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University, Center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Biostatistics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Columbus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OH,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Saint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Joseph’s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Center, Phoenix, AZ,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Massachusetts General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Intermountain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Healthcare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Murray, UT,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MD Anderson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Human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Wisconsin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Clinics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Madison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CHUM -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Notre-Dame, Montreal, QC,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Medical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College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Wisconsin,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17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Colorado Denver, Aurora, CO, </w:t>
      </w:r>
      <w:r w:rsidRPr="00821627">
        <w:rPr>
          <w:rFonts w:ascii="Times New Roman" w:hAnsi="Times New Roman" w:cs="Times New Roman"/>
          <w:i/>
          <w:sz w:val="20"/>
          <w:szCs w:val="20"/>
          <w:vertAlign w:val="superscript"/>
        </w:rPr>
        <w:t>18</w:t>
      </w:r>
      <w:r w:rsidRPr="00821627">
        <w:rPr>
          <w:rFonts w:ascii="Times New Roman" w:hAnsi="Times New Roman" w:cs="Times New Roman"/>
          <w:i/>
          <w:sz w:val="20"/>
          <w:szCs w:val="20"/>
        </w:rPr>
        <w:t xml:space="preserve">Wilmot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Institute, University </w:t>
      </w:r>
      <w:proofErr w:type="spellStart"/>
      <w:r w:rsidRPr="00821627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i/>
          <w:sz w:val="20"/>
          <w:szCs w:val="20"/>
        </w:rPr>
        <w:t xml:space="preserve"> Rochester, Rochester, NY</w:t>
      </w:r>
    </w:p>
    <w:p w14:paraId="36A68103" w14:textId="77777777" w:rsidR="00821627" w:rsidRPr="00821627" w:rsidRDefault="00821627" w:rsidP="00821627">
      <w:pPr>
        <w:rPr>
          <w:rFonts w:ascii="Times New Roman" w:hAnsi="Times New Roman" w:cs="Times New Roman"/>
          <w:sz w:val="20"/>
          <w:szCs w:val="20"/>
        </w:rPr>
      </w:pPr>
    </w:p>
    <w:p w14:paraId="2CB03133" w14:textId="77777777" w:rsidR="00821627" w:rsidRDefault="00821627" w:rsidP="008216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(s):</w:t>
      </w:r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sought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proportion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NRG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/RTOG 9813 and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prognostic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anaplastic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gliomas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astrocytoma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dominant) in a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III trial. </w:t>
      </w:r>
    </w:p>
    <w:p w14:paraId="7E5C3496" w14:textId="77777777" w:rsidR="00821627" w:rsidRDefault="00821627" w:rsidP="008216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:</w:t>
      </w:r>
      <w:r w:rsidRPr="00821627">
        <w:rPr>
          <w:rFonts w:ascii="Times New Roman" w:hAnsi="Times New Roman" w:cs="Times New Roman"/>
          <w:sz w:val="20"/>
          <w:szCs w:val="20"/>
        </w:rPr>
        <w:t xml:space="preserve"> NRG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/RTOG 9813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196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RT +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nit</w:t>
      </w:r>
      <w:r>
        <w:rPr>
          <w:rFonts w:ascii="Times New Roman" w:hAnsi="Times New Roman" w:cs="Times New Roman"/>
          <w:sz w:val="20"/>
          <w:szCs w:val="20"/>
        </w:rPr>
        <w:t>rosourea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(NU)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RT + </w:t>
      </w:r>
      <w:proofErr w:type="spellStart"/>
      <w:r>
        <w:rPr>
          <w:rFonts w:ascii="Times New Roman" w:hAnsi="Times New Roman" w:cs="Times New Roman"/>
          <w:sz w:val="20"/>
          <w:szCs w:val="20"/>
        </w:rPr>
        <w:t>temozolo</w:t>
      </w:r>
      <w:r w:rsidRPr="00821627">
        <w:rPr>
          <w:rFonts w:ascii="Times New Roman" w:hAnsi="Times New Roman" w:cs="Times New Roman"/>
          <w:sz w:val="20"/>
          <w:szCs w:val="20"/>
        </w:rPr>
        <w:t>mide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(TMZ).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MGMT-STP27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prediction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calculate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status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Illumina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HM-450K data.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r w:rsidRPr="00821627">
        <w:rPr>
          <w:rFonts w:ascii="Times New Roman" w:hAnsi="Times New Roman" w:cs="Times New Roman"/>
          <w:sz w:val="20"/>
          <w:szCs w:val="20"/>
        </w:rPr>
        <w:t>variate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UVAs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MVAs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hazard model, to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analyze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status on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(PFS) and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(OS).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assignment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MVAs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>.</w:t>
      </w:r>
    </w:p>
    <w:p w14:paraId="325A4E23" w14:textId="77777777" w:rsidR="00821627" w:rsidRPr="00821627" w:rsidRDefault="00821627" w:rsidP="008216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:</w:t>
      </w:r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trial, 58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currently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status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: 36 (62%)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and 22 (38%)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unmethylated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, no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and performance status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baseline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UVAs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,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trended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toward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 (HR = 1.78; 95% CI (0.93-3.40); P =</w:t>
      </w:r>
      <w:r w:rsidRPr="00821627">
        <w:rPr>
          <w:rFonts w:ascii="Times New Roman" w:hAnsi="Times New Roman" w:cs="Times New Roman"/>
          <w:sz w:val="20"/>
          <w:szCs w:val="20"/>
        </w:rPr>
        <w:t xml:space="preserve"> 0.08).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MVAs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,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correlated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 (HR =</w:t>
      </w:r>
      <w:r w:rsidRPr="00821627">
        <w:rPr>
          <w:rFonts w:ascii="Times New Roman" w:hAnsi="Times New Roman" w:cs="Times New Roman"/>
          <w:sz w:val="20"/>
          <w:szCs w:val="20"/>
        </w:rPr>
        <w:t xml:space="preserve"> 2.28; 9</w:t>
      </w:r>
      <w:r>
        <w:rPr>
          <w:rFonts w:ascii="Times New Roman" w:hAnsi="Times New Roman" w:cs="Times New Roman"/>
          <w:sz w:val="20"/>
          <w:szCs w:val="20"/>
        </w:rPr>
        <w:t>5% CI (1.15-4.45); P = 0.019), but not PFS (HR = 1.48; 95% CI (0.80-2.73); P =</w:t>
      </w:r>
      <w:r w:rsidRPr="00821627">
        <w:rPr>
          <w:rFonts w:ascii="Times New Roman" w:hAnsi="Times New Roman" w:cs="Times New Roman"/>
          <w:sz w:val="20"/>
          <w:szCs w:val="20"/>
        </w:rPr>
        <w:t xml:space="preserve"> 0.22). </w:t>
      </w:r>
    </w:p>
    <w:p w14:paraId="4D746111" w14:textId="77777777" w:rsidR="001F110E" w:rsidRPr="00821627" w:rsidRDefault="00821627" w:rsidP="008216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821627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821627">
        <w:rPr>
          <w:rFonts w:ascii="Times New Roman" w:hAnsi="Times New Roman" w:cs="Times New Roman"/>
          <w:b/>
          <w:sz w:val="20"/>
          <w:szCs w:val="20"/>
        </w:rPr>
        <w:t>:</w:t>
      </w:r>
      <w:r w:rsidRPr="00821627">
        <w:rPr>
          <w:rFonts w:ascii="Times New Roman" w:hAnsi="Times New Roman" w:cs="Times New Roman"/>
          <w:sz w:val="20"/>
          <w:szCs w:val="20"/>
        </w:rPr>
        <w:t xml:space="preserve">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MGMT- STP27 model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independent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prognos</w:t>
      </w:r>
      <w:r>
        <w:rPr>
          <w:rFonts w:ascii="Times New Roman" w:hAnsi="Times New Roman" w:cs="Times New Roman"/>
          <w:sz w:val="20"/>
          <w:szCs w:val="20"/>
        </w:rPr>
        <w:t>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biomarker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anaplastic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</w:t>
      </w:r>
      <w:r w:rsidRPr="00821627">
        <w:rPr>
          <w:rFonts w:ascii="Times New Roman" w:hAnsi="Times New Roman" w:cs="Times New Roman"/>
          <w:sz w:val="20"/>
          <w:szCs w:val="20"/>
        </w:rPr>
        <w:t>trocytomas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nitrosourea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temozolomide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OS.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Importantly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study to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validate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prognostic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on OS in a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III study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grade III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anaplastic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glioma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astrocytoma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dominant)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plus TMZ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rigorous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MVAs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</w:t>
      </w:r>
      <w:r w:rsidRPr="00821627">
        <w:rPr>
          <w:rFonts w:ascii="Times New Roman" w:hAnsi="Times New Roman" w:cs="Times New Roman"/>
          <w:sz w:val="20"/>
          <w:szCs w:val="20"/>
        </w:rPr>
        <w:t>spectively-collected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well-annotated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clini</w:t>
      </w:r>
      <w:r>
        <w:rPr>
          <w:rFonts w:ascii="Times New Roman" w:hAnsi="Times New Roman" w:cs="Times New Roman"/>
          <w:sz w:val="20"/>
          <w:szCs w:val="20"/>
        </w:rPr>
        <w:t>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data.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</w:t>
      </w:r>
      <w:r w:rsidRPr="00821627">
        <w:rPr>
          <w:rFonts w:ascii="Times New Roman" w:hAnsi="Times New Roman" w:cs="Times New Roman"/>
          <w:sz w:val="20"/>
          <w:szCs w:val="20"/>
        </w:rPr>
        <w:t>nostic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MGMT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lastRenderedPageBreak/>
        <w:t>promoter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methylation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relative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to IDH and 1p/19q status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ongoing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efforts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 xml:space="preserve"> sample </w:t>
      </w:r>
      <w:proofErr w:type="spellStart"/>
      <w:r w:rsidRPr="00821627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821627">
        <w:rPr>
          <w:rFonts w:ascii="Times New Roman" w:hAnsi="Times New Roman" w:cs="Times New Roman"/>
          <w:sz w:val="20"/>
          <w:szCs w:val="20"/>
        </w:rPr>
        <w:t>.</w:t>
      </w:r>
    </w:p>
    <w:sectPr w:rsidR="001F110E" w:rsidRPr="00821627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27"/>
    <w:rsid w:val="001F110E"/>
    <w:rsid w:val="00821627"/>
    <w:rsid w:val="00E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4DB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3039</Characters>
  <Application>Microsoft Macintosh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2017-10-24T06:54:00Z</dcterms:created>
  <dcterms:modified xsi:type="dcterms:W3CDTF">2017-10-26T11:16:00Z</dcterms:modified>
</cp:coreProperties>
</file>