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1D" w:rsidRPr="00C6141D" w:rsidRDefault="00C6141D" w:rsidP="00C6141D">
      <w:pPr>
        <w:widowControl w:val="0"/>
        <w:autoSpaceDE w:val="0"/>
        <w:autoSpaceDN w:val="0"/>
        <w:adjustRightInd w:val="0"/>
        <w:spacing w:after="240" w:line="360" w:lineRule="auto"/>
        <w:ind w:left="720"/>
        <w:rPr>
          <w:rFonts w:ascii="Times New Roman" w:hAnsi="Times New Roman" w:cs="Times New Roman"/>
          <w:b/>
          <w:szCs w:val="20"/>
          <w:lang w:val="en-US"/>
        </w:rPr>
      </w:pPr>
      <w:r w:rsidRPr="00C6141D">
        <w:rPr>
          <w:rFonts w:ascii="Times New Roman" w:hAnsi="Times New Roman" w:cs="Times New Roman"/>
          <w:b/>
          <w:szCs w:val="20"/>
          <w:lang w:val="en-US"/>
        </w:rPr>
        <w:t xml:space="preserve">Radiobiological Analysis of Outcomes Using External Beam Radiotherapy Plus High Dose-Rate </w:t>
      </w:r>
      <w:proofErr w:type="spellStart"/>
      <w:r w:rsidRPr="00C6141D">
        <w:rPr>
          <w:rFonts w:ascii="Times New Roman" w:hAnsi="Times New Roman" w:cs="Times New Roman"/>
          <w:b/>
          <w:szCs w:val="20"/>
          <w:lang w:val="en-US"/>
        </w:rPr>
        <w:t>Brachytherapy</w:t>
      </w:r>
      <w:proofErr w:type="spellEnd"/>
      <w:r w:rsidRPr="00C6141D">
        <w:rPr>
          <w:rFonts w:ascii="Times New Roman" w:hAnsi="Times New Roman" w:cs="Times New Roman"/>
          <w:b/>
          <w:szCs w:val="20"/>
          <w:lang w:val="en-US"/>
        </w:rPr>
        <w:t xml:space="preserve"> (4x7 </w:t>
      </w:r>
      <w:proofErr w:type="spellStart"/>
      <w:r w:rsidRPr="00C6141D">
        <w:rPr>
          <w:rFonts w:ascii="Times New Roman" w:hAnsi="Times New Roman" w:cs="Times New Roman"/>
          <w:b/>
          <w:szCs w:val="20"/>
          <w:lang w:val="en-US"/>
        </w:rPr>
        <w:t>Gy</w:t>
      </w:r>
      <w:proofErr w:type="spellEnd"/>
      <w:r w:rsidRPr="00C6141D">
        <w:rPr>
          <w:rFonts w:ascii="Times New Roman" w:hAnsi="Times New Roman" w:cs="Times New Roman"/>
          <w:b/>
          <w:szCs w:val="20"/>
          <w:lang w:val="en-US"/>
        </w:rPr>
        <w:t xml:space="preserve"> or</w:t>
      </w:r>
      <w:r w:rsidR="00BF1373">
        <w:rPr>
          <w:rFonts w:ascii="Times New Roman" w:hAnsi="Times New Roman" w:cs="Times New Roman"/>
          <w:b/>
          <w:szCs w:val="20"/>
          <w:lang w:val="en-US"/>
        </w:rPr>
        <w:t xml:space="preserve"> </w:t>
      </w:r>
      <w:r w:rsidRPr="00C6141D">
        <w:rPr>
          <w:rFonts w:ascii="Times New Roman" w:hAnsi="Times New Roman" w:cs="Times New Roman"/>
          <w:b/>
          <w:szCs w:val="20"/>
          <w:lang w:val="en-US"/>
        </w:rPr>
        <w:t xml:space="preserve">2x9 </w:t>
      </w:r>
      <w:proofErr w:type="spellStart"/>
      <w:r w:rsidRPr="00C6141D">
        <w:rPr>
          <w:rFonts w:ascii="Times New Roman" w:hAnsi="Times New Roman" w:cs="Times New Roman"/>
          <w:b/>
          <w:szCs w:val="20"/>
          <w:lang w:val="en-US"/>
        </w:rPr>
        <w:t>Gy</w:t>
      </w:r>
      <w:proofErr w:type="spellEnd"/>
      <w:r w:rsidRPr="00C6141D">
        <w:rPr>
          <w:rFonts w:ascii="Times New Roman" w:hAnsi="Times New Roman" w:cs="Times New Roman"/>
          <w:b/>
          <w:szCs w:val="20"/>
          <w:lang w:val="en-US"/>
        </w:rPr>
        <w:t xml:space="preserve">) for Cervical Cancer in a Multi-Institution Trial </w:t>
      </w:r>
    </w:p>
    <w:p w:rsidR="00C6141D" w:rsidRDefault="00C6141D" w:rsidP="00C6141D">
      <w:pPr>
        <w:widowControl w:val="0"/>
        <w:autoSpaceDE w:val="0"/>
        <w:autoSpaceDN w:val="0"/>
        <w:adjustRightInd w:val="0"/>
        <w:spacing w:after="240"/>
        <w:ind w:left="720"/>
        <w:rPr>
          <w:rFonts w:ascii="Times New Roman" w:hAnsi="Times New Roman" w:cs="Times New Roman"/>
          <w:sz w:val="20"/>
          <w:szCs w:val="20"/>
          <w:lang w:val="en-US"/>
        </w:rPr>
      </w:pPr>
      <w:r w:rsidRPr="00C6141D">
        <w:rPr>
          <w:rFonts w:ascii="Times New Roman" w:hAnsi="Times New Roman" w:cs="Times New Roman"/>
          <w:sz w:val="20"/>
          <w:szCs w:val="20"/>
          <w:lang w:val="en-US"/>
        </w:rPr>
        <w:t>J. Hendry,</w:t>
      </w:r>
      <w:r w:rsidRPr="00C6141D">
        <w:rPr>
          <w:rFonts w:ascii="Times New Roman" w:hAnsi="Times New Roman" w:cs="Times New Roman"/>
          <w:color w:val="0D6B9B"/>
          <w:position w:val="10"/>
          <w:sz w:val="20"/>
          <w:szCs w:val="20"/>
          <w:lang w:val="en-US"/>
        </w:rPr>
        <w:t xml:space="preserve">1 </w:t>
      </w:r>
      <w:r w:rsidRPr="00C6141D">
        <w:rPr>
          <w:rFonts w:ascii="Times New Roman" w:hAnsi="Times New Roman" w:cs="Times New Roman"/>
          <w:sz w:val="20"/>
          <w:szCs w:val="20"/>
          <w:lang w:val="en-US"/>
        </w:rPr>
        <w:t>G.W. Jones,</w:t>
      </w:r>
      <w:r w:rsidRPr="00C6141D">
        <w:rPr>
          <w:rFonts w:ascii="Times New Roman" w:hAnsi="Times New Roman" w:cs="Times New Roman"/>
          <w:color w:val="0D6B9B"/>
          <w:position w:val="10"/>
          <w:sz w:val="20"/>
          <w:szCs w:val="20"/>
          <w:lang w:val="en-US"/>
        </w:rPr>
        <w:t xml:space="preserve">2 </w:t>
      </w:r>
      <w:r w:rsidRPr="00C6141D">
        <w:rPr>
          <w:rFonts w:ascii="Times New Roman" w:hAnsi="Times New Roman" w:cs="Times New Roman"/>
          <w:sz w:val="20"/>
          <w:szCs w:val="20"/>
          <w:lang w:val="en-US"/>
        </w:rPr>
        <w:t xml:space="preserve">U.M. </w:t>
      </w:r>
      <w:proofErr w:type="spellStart"/>
      <w:r w:rsidRPr="00C6141D">
        <w:rPr>
          <w:rFonts w:ascii="Times New Roman" w:hAnsi="Times New Roman" w:cs="Times New Roman"/>
          <w:sz w:val="20"/>
          <w:szCs w:val="20"/>
          <w:lang w:val="en-US"/>
        </w:rPr>
        <w:t>Mahantshetty</w:t>
      </w:r>
      <w:proofErr w:type="spellEnd"/>
      <w:r w:rsidRPr="00C6141D">
        <w:rPr>
          <w:rFonts w:ascii="Times New Roman" w:hAnsi="Times New Roman" w:cs="Times New Roman"/>
          <w:sz w:val="20"/>
          <w:szCs w:val="20"/>
          <w:lang w:val="en-US"/>
        </w:rPr>
        <w:t>,</w:t>
      </w:r>
      <w:r w:rsidRPr="00C6141D">
        <w:rPr>
          <w:rFonts w:ascii="Times New Roman" w:hAnsi="Times New Roman" w:cs="Times New Roman"/>
          <w:color w:val="0D6B9B"/>
          <w:position w:val="10"/>
          <w:sz w:val="20"/>
          <w:szCs w:val="20"/>
          <w:lang w:val="en-US"/>
        </w:rPr>
        <w:t xml:space="preserve">3 </w:t>
      </w:r>
      <w:r w:rsidRPr="00C6141D">
        <w:rPr>
          <w:rFonts w:ascii="Times New Roman" w:hAnsi="Times New Roman" w:cs="Times New Roman"/>
          <w:sz w:val="20"/>
          <w:szCs w:val="20"/>
          <w:lang w:val="en-US"/>
        </w:rPr>
        <w:t xml:space="preserve">G. </w:t>
      </w:r>
      <w:proofErr w:type="spellStart"/>
      <w:r w:rsidRPr="00C6141D">
        <w:rPr>
          <w:rFonts w:ascii="Times New Roman" w:hAnsi="Times New Roman" w:cs="Times New Roman"/>
          <w:sz w:val="20"/>
          <w:szCs w:val="20"/>
          <w:lang w:val="en-US"/>
        </w:rPr>
        <w:t>Sarria</w:t>
      </w:r>
      <w:proofErr w:type="spellEnd"/>
      <w:r w:rsidRPr="00C6141D">
        <w:rPr>
          <w:rFonts w:ascii="Times New Roman" w:hAnsi="Times New Roman" w:cs="Times New Roman"/>
          <w:sz w:val="20"/>
          <w:szCs w:val="20"/>
          <w:lang w:val="en-US"/>
        </w:rPr>
        <w:t>,</w:t>
      </w:r>
      <w:r w:rsidRPr="00C6141D">
        <w:rPr>
          <w:rFonts w:ascii="Times New Roman" w:hAnsi="Times New Roman" w:cs="Times New Roman"/>
          <w:color w:val="0D6B9B"/>
          <w:position w:val="10"/>
          <w:sz w:val="20"/>
          <w:szCs w:val="20"/>
          <w:lang w:val="en-US"/>
        </w:rPr>
        <w:t xml:space="preserve">4 </w:t>
      </w:r>
      <w:r w:rsidRPr="00C6141D">
        <w:rPr>
          <w:rFonts w:ascii="Times New Roman" w:hAnsi="Times New Roman" w:cs="Times New Roman"/>
          <w:sz w:val="20"/>
          <w:szCs w:val="20"/>
          <w:lang w:val="en-US"/>
        </w:rPr>
        <w:t xml:space="preserve">N.W. </w:t>
      </w:r>
      <w:proofErr w:type="spellStart"/>
      <w:r w:rsidRPr="00C6141D">
        <w:rPr>
          <w:rFonts w:ascii="Times New Roman" w:hAnsi="Times New Roman" w:cs="Times New Roman"/>
          <w:sz w:val="20"/>
          <w:szCs w:val="20"/>
          <w:lang w:val="en-US"/>
        </w:rPr>
        <w:t>da</w:t>
      </w:r>
      <w:proofErr w:type="spellEnd"/>
      <w:r w:rsidRPr="00C6141D">
        <w:rPr>
          <w:rFonts w:ascii="Times New Roman" w:hAnsi="Times New Roman" w:cs="Times New Roman"/>
          <w:sz w:val="20"/>
          <w:szCs w:val="20"/>
          <w:lang w:val="en-US"/>
        </w:rPr>
        <w:t xml:space="preserve"> Motta,</w:t>
      </w:r>
      <w:r w:rsidRPr="00C6141D">
        <w:rPr>
          <w:rFonts w:ascii="Times New Roman" w:hAnsi="Times New Roman" w:cs="Times New Roman"/>
          <w:color w:val="0D6B9B"/>
          <w:position w:val="10"/>
          <w:sz w:val="20"/>
          <w:szCs w:val="20"/>
          <w:lang w:val="en-US"/>
        </w:rPr>
        <w:t xml:space="preserve">5 </w:t>
      </w:r>
      <w:r w:rsidRPr="00C6141D">
        <w:rPr>
          <w:rFonts w:ascii="Times New Roman" w:hAnsi="Times New Roman" w:cs="Times New Roman"/>
          <w:sz w:val="20"/>
          <w:szCs w:val="20"/>
          <w:lang w:val="en-US"/>
        </w:rPr>
        <w:t xml:space="preserve">E. </w:t>
      </w:r>
      <w:proofErr w:type="spellStart"/>
      <w:r w:rsidRPr="00C6141D">
        <w:rPr>
          <w:rFonts w:ascii="Times New Roman" w:hAnsi="Times New Roman" w:cs="Times New Roman"/>
          <w:sz w:val="20"/>
          <w:szCs w:val="20"/>
          <w:lang w:val="en-US"/>
        </w:rPr>
        <w:t>Fidarova</w:t>
      </w:r>
      <w:proofErr w:type="spellEnd"/>
      <w:r w:rsidRPr="00C6141D">
        <w:rPr>
          <w:rFonts w:ascii="Times New Roman" w:hAnsi="Times New Roman" w:cs="Times New Roman"/>
          <w:sz w:val="20"/>
          <w:szCs w:val="20"/>
          <w:lang w:val="en-US"/>
        </w:rPr>
        <w:t>,</w:t>
      </w:r>
      <w:r w:rsidRPr="00C6141D">
        <w:rPr>
          <w:rFonts w:ascii="Times New Roman" w:hAnsi="Times New Roman" w:cs="Times New Roman"/>
          <w:color w:val="0D6B9B"/>
          <w:position w:val="10"/>
          <w:sz w:val="20"/>
          <w:szCs w:val="20"/>
          <w:lang w:val="en-US"/>
        </w:rPr>
        <w:t xml:space="preserve">6 </w:t>
      </w:r>
      <w:r w:rsidRPr="00C6141D">
        <w:rPr>
          <w:rFonts w:ascii="Times New Roman" w:hAnsi="Times New Roman" w:cs="Times New Roman"/>
          <w:sz w:val="20"/>
          <w:szCs w:val="20"/>
          <w:lang w:val="en-US"/>
        </w:rPr>
        <w:t>M. Ab</w:t>
      </w:r>
      <w:bookmarkStart w:id="0" w:name="_GoBack"/>
      <w:bookmarkEnd w:id="0"/>
      <w:r w:rsidRPr="00C6141D">
        <w:rPr>
          <w:rFonts w:ascii="Times New Roman" w:hAnsi="Times New Roman" w:cs="Times New Roman"/>
          <w:sz w:val="20"/>
          <w:szCs w:val="20"/>
          <w:lang w:val="en-US"/>
        </w:rPr>
        <w:t>del-</w:t>
      </w:r>
      <w:proofErr w:type="spellStart"/>
      <w:r w:rsidRPr="00C6141D">
        <w:rPr>
          <w:rFonts w:ascii="Times New Roman" w:hAnsi="Times New Roman" w:cs="Times New Roman"/>
          <w:sz w:val="20"/>
          <w:szCs w:val="20"/>
          <w:lang w:val="en-US"/>
        </w:rPr>
        <w:t>Wahab</w:t>
      </w:r>
      <w:proofErr w:type="spellEnd"/>
      <w:r w:rsidRPr="00C6141D">
        <w:rPr>
          <w:rFonts w:ascii="Times New Roman" w:hAnsi="Times New Roman" w:cs="Times New Roman"/>
          <w:sz w:val="20"/>
          <w:szCs w:val="20"/>
          <w:lang w:val="en-US"/>
        </w:rPr>
        <w:t>,</w:t>
      </w:r>
      <w:r w:rsidRPr="00C6141D">
        <w:rPr>
          <w:rFonts w:ascii="Times New Roman" w:hAnsi="Times New Roman" w:cs="Times New Roman"/>
          <w:color w:val="0D6B9B"/>
          <w:position w:val="10"/>
          <w:sz w:val="20"/>
          <w:szCs w:val="20"/>
          <w:lang w:val="en-US"/>
        </w:rPr>
        <w:t xml:space="preserve">7 </w:t>
      </w:r>
      <w:r w:rsidRPr="00C6141D">
        <w:rPr>
          <w:rFonts w:ascii="Times New Roman" w:hAnsi="Times New Roman" w:cs="Times New Roman"/>
          <w:sz w:val="20"/>
          <w:szCs w:val="20"/>
          <w:lang w:val="en-US"/>
        </w:rPr>
        <w:t>R.R. Prasad,</w:t>
      </w:r>
      <w:r w:rsidRPr="00C6141D">
        <w:rPr>
          <w:rFonts w:ascii="Times New Roman" w:hAnsi="Times New Roman" w:cs="Times New Roman"/>
          <w:color w:val="0D6B9B"/>
          <w:position w:val="10"/>
          <w:sz w:val="20"/>
          <w:szCs w:val="20"/>
          <w:lang w:val="en-US"/>
        </w:rPr>
        <w:t xml:space="preserve">6 </w:t>
      </w:r>
      <w:r w:rsidRPr="00C6141D">
        <w:rPr>
          <w:rFonts w:ascii="Times New Roman" w:hAnsi="Times New Roman" w:cs="Times New Roman"/>
          <w:sz w:val="20"/>
          <w:szCs w:val="20"/>
          <w:lang w:val="en-US"/>
        </w:rPr>
        <w:t>A. Polo,</w:t>
      </w:r>
      <w:r w:rsidRPr="00C6141D">
        <w:rPr>
          <w:rFonts w:ascii="Times New Roman" w:hAnsi="Times New Roman" w:cs="Times New Roman"/>
          <w:color w:val="0D6B9B"/>
          <w:position w:val="10"/>
          <w:sz w:val="20"/>
          <w:szCs w:val="20"/>
          <w:lang w:val="en-US"/>
        </w:rPr>
        <w:t xml:space="preserve">8 </w:t>
      </w:r>
      <w:r w:rsidRPr="00C6141D">
        <w:rPr>
          <w:rFonts w:ascii="Times New Roman" w:hAnsi="Times New Roman" w:cs="Times New Roman"/>
          <w:position w:val="2"/>
          <w:sz w:val="20"/>
          <w:szCs w:val="20"/>
          <w:lang w:val="en-US"/>
        </w:rPr>
        <w:t xml:space="preserve">114 </w:t>
      </w:r>
      <w:r w:rsidRPr="00C6141D">
        <w:rPr>
          <w:rFonts w:ascii="Times New Roman" w:hAnsi="Times New Roman" w:cs="Times New Roman"/>
          <w:sz w:val="20"/>
          <w:szCs w:val="20"/>
          <w:lang w:val="en-US"/>
        </w:rPr>
        <w:t xml:space="preserve">and E. </w:t>
      </w:r>
      <w:proofErr w:type="spellStart"/>
      <w:r w:rsidRPr="00C6141D">
        <w:rPr>
          <w:rFonts w:ascii="Times New Roman" w:hAnsi="Times New Roman" w:cs="Times New Roman"/>
          <w:sz w:val="20"/>
          <w:szCs w:val="20"/>
          <w:lang w:val="en-US"/>
        </w:rPr>
        <w:t>Zubizarreta</w:t>
      </w:r>
      <w:proofErr w:type="spellEnd"/>
      <w:r w:rsidRPr="00C6141D">
        <w:rPr>
          <w:rFonts w:ascii="Times New Roman" w:hAnsi="Times New Roman" w:cs="Times New Roman"/>
          <w:color w:val="0D6B9B"/>
          <w:position w:val="10"/>
          <w:sz w:val="20"/>
          <w:szCs w:val="20"/>
          <w:lang w:val="en-US"/>
        </w:rPr>
        <w:t>6</w:t>
      </w:r>
      <w:r w:rsidRPr="00C6141D">
        <w:rPr>
          <w:rFonts w:ascii="Times New Roman" w:hAnsi="Times New Roman" w:cs="Times New Roman"/>
          <w:sz w:val="20"/>
          <w:szCs w:val="20"/>
          <w:lang w:val="en-US"/>
        </w:rPr>
        <w:t xml:space="preserve">; </w:t>
      </w:r>
    </w:p>
    <w:p w:rsidR="00C6141D" w:rsidRDefault="00C6141D" w:rsidP="00C6141D">
      <w:pPr>
        <w:widowControl w:val="0"/>
        <w:autoSpaceDE w:val="0"/>
        <w:autoSpaceDN w:val="0"/>
        <w:adjustRightInd w:val="0"/>
        <w:spacing w:after="240"/>
        <w:ind w:left="720"/>
        <w:rPr>
          <w:rFonts w:ascii="Times New Roman" w:hAnsi="Times New Roman" w:cs="Times New Roman"/>
          <w:i/>
          <w:position w:val="-14"/>
          <w:sz w:val="20"/>
          <w:szCs w:val="20"/>
          <w:lang w:val="en-US"/>
        </w:rPr>
      </w:pPr>
      <w:r w:rsidRPr="00C6141D">
        <w:rPr>
          <w:rFonts w:ascii="Times New Roman" w:hAnsi="Times New Roman" w:cs="Times New Roman"/>
          <w:i/>
          <w:position w:val="10"/>
          <w:sz w:val="20"/>
          <w:szCs w:val="20"/>
          <w:lang w:val="en-US"/>
        </w:rPr>
        <w:t>1</w:t>
      </w:r>
      <w:proofErr w:type="spellStart"/>
      <w:r w:rsidRPr="00C6141D">
        <w:rPr>
          <w:rFonts w:ascii="Times New Roman" w:hAnsi="Times New Roman" w:cs="Times New Roman"/>
          <w:i/>
          <w:sz w:val="20"/>
          <w:szCs w:val="20"/>
          <w:lang w:val="en-US"/>
        </w:rPr>
        <w:t>Macclesfield</w:t>
      </w:r>
      <w:proofErr w:type="spellEnd"/>
      <w:r w:rsidRPr="00C6141D">
        <w:rPr>
          <w:rFonts w:ascii="Times New Roman" w:hAnsi="Times New Roman" w:cs="Times New Roman"/>
          <w:i/>
          <w:sz w:val="20"/>
          <w:szCs w:val="20"/>
          <w:lang w:val="en-US"/>
        </w:rPr>
        <w:t xml:space="preserve">, United Kingdom, </w:t>
      </w:r>
      <w:r w:rsidRPr="00C6141D">
        <w:rPr>
          <w:rFonts w:ascii="Times New Roman" w:hAnsi="Times New Roman" w:cs="Times New Roman"/>
          <w:i/>
          <w:position w:val="10"/>
          <w:sz w:val="20"/>
          <w:szCs w:val="20"/>
          <w:lang w:val="en-US"/>
        </w:rPr>
        <w:t>2</w:t>
      </w:r>
      <w:r w:rsidRPr="00C6141D">
        <w:rPr>
          <w:rFonts w:ascii="Times New Roman" w:hAnsi="Times New Roman" w:cs="Times New Roman"/>
          <w:i/>
          <w:sz w:val="20"/>
          <w:szCs w:val="20"/>
          <w:lang w:val="en-US"/>
        </w:rPr>
        <w:t xml:space="preserve">Trillium Health Partners, Mississauga, ON, Canada, </w:t>
      </w:r>
      <w:r w:rsidRPr="00C6141D">
        <w:rPr>
          <w:rFonts w:ascii="Times New Roman" w:hAnsi="Times New Roman" w:cs="Times New Roman"/>
          <w:i/>
          <w:position w:val="10"/>
          <w:sz w:val="20"/>
          <w:szCs w:val="20"/>
          <w:lang w:val="en-US"/>
        </w:rPr>
        <w:t>3</w:t>
      </w:r>
      <w:r w:rsidRPr="00C6141D">
        <w:rPr>
          <w:rFonts w:ascii="Times New Roman" w:hAnsi="Times New Roman" w:cs="Times New Roman"/>
          <w:i/>
          <w:sz w:val="20"/>
          <w:szCs w:val="20"/>
          <w:lang w:val="en-US"/>
        </w:rPr>
        <w:t xml:space="preserve">Tata Memorial Hospital, Mumbai, India, </w:t>
      </w:r>
      <w:r w:rsidRPr="00C6141D">
        <w:rPr>
          <w:rFonts w:ascii="Times New Roman" w:hAnsi="Times New Roman" w:cs="Times New Roman"/>
          <w:i/>
          <w:position w:val="10"/>
          <w:sz w:val="20"/>
          <w:szCs w:val="20"/>
          <w:lang w:val="en-US"/>
        </w:rPr>
        <w:t>4</w:t>
      </w:r>
      <w:proofErr w:type="spellStart"/>
      <w:r w:rsidRPr="00C6141D">
        <w:rPr>
          <w:rFonts w:ascii="Times New Roman" w:hAnsi="Times New Roman" w:cs="Times New Roman"/>
          <w:i/>
          <w:sz w:val="20"/>
          <w:szCs w:val="20"/>
          <w:lang w:val="en-US"/>
        </w:rPr>
        <w:t>Radioncologia</w:t>
      </w:r>
      <w:proofErr w:type="spellEnd"/>
      <w:r w:rsidRPr="00C6141D">
        <w:rPr>
          <w:rFonts w:ascii="Times New Roman" w:hAnsi="Times New Roman" w:cs="Times New Roman"/>
          <w:i/>
          <w:sz w:val="20"/>
          <w:szCs w:val="20"/>
          <w:lang w:val="en-US"/>
        </w:rPr>
        <w:t xml:space="preserve"> - AUNA, Lima, Peru, </w:t>
      </w:r>
      <w:r w:rsidRPr="00C6141D">
        <w:rPr>
          <w:rFonts w:ascii="Times New Roman" w:hAnsi="Times New Roman" w:cs="Times New Roman"/>
          <w:i/>
          <w:position w:val="10"/>
          <w:sz w:val="20"/>
          <w:szCs w:val="20"/>
          <w:lang w:val="en-US"/>
        </w:rPr>
        <w:t>5</w:t>
      </w:r>
      <w:r w:rsidRPr="00C6141D">
        <w:rPr>
          <w:rFonts w:ascii="Times New Roman" w:hAnsi="Times New Roman" w:cs="Times New Roman"/>
          <w:i/>
          <w:sz w:val="20"/>
          <w:szCs w:val="20"/>
          <w:lang w:val="en-US"/>
        </w:rPr>
        <w:t>HSR/</w:t>
      </w:r>
      <w:proofErr w:type="spellStart"/>
      <w:r w:rsidRPr="00C6141D">
        <w:rPr>
          <w:rFonts w:ascii="Times New Roman" w:hAnsi="Times New Roman" w:cs="Times New Roman"/>
          <w:i/>
          <w:sz w:val="20"/>
          <w:szCs w:val="20"/>
          <w:lang w:val="en-US"/>
        </w:rPr>
        <w:t>iSCMPA</w:t>
      </w:r>
      <w:proofErr w:type="spellEnd"/>
      <w:r w:rsidRPr="00C6141D">
        <w:rPr>
          <w:rFonts w:ascii="Times New Roman" w:hAnsi="Times New Roman" w:cs="Times New Roman"/>
          <w:i/>
          <w:sz w:val="20"/>
          <w:szCs w:val="20"/>
          <w:lang w:val="en-US"/>
        </w:rPr>
        <w:t xml:space="preserve">, Porto </w:t>
      </w:r>
      <w:proofErr w:type="spellStart"/>
      <w:r w:rsidRPr="00C6141D">
        <w:rPr>
          <w:rFonts w:ascii="Times New Roman" w:hAnsi="Times New Roman" w:cs="Times New Roman"/>
          <w:i/>
          <w:sz w:val="20"/>
          <w:szCs w:val="20"/>
          <w:lang w:val="en-US"/>
        </w:rPr>
        <w:t>Alegre</w:t>
      </w:r>
      <w:proofErr w:type="spellEnd"/>
      <w:r w:rsidRPr="00C6141D">
        <w:rPr>
          <w:rFonts w:ascii="Times New Roman" w:hAnsi="Times New Roman" w:cs="Times New Roman"/>
          <w:i/>
          <w:sz w:val="20"/>
          <w:szCs w:val="20"/>
          <w:lang w:val="en-US"/>
        </w:rPr>
        <w:t xml:space="preserve">, Brazil, </w:t>
      </w:r>
      <w:r w:rsidRPr="00C6141D">
        <w:rPr>
          <w:rFonts w:ascii="Times New Roman" w:hAnsi="Times New Roman" w:cs="Times New Roman"/>
          <w:i/>
          <w:position w:val="10"/>
          <w:sz w:val="20"/>
          <w:szCs w:val="20"/>
          <w:lang w:val="en-US"/>
        </w:rPr>
        <w:t>6</w:t>
      </w:r>
      <w:r w:rsidRPr="00C6141D">
        <w:rPr>
          <w:rFonts w:ascii="Times New Roman" w:hAnsi="Times New Roman" w:cs="Times New Roman"/>
          <w:i/>
          <w:sz w:val="20"/>
          <w:szCs w:val="20"/>
          <w:lang w:val="en-US"/>
        </w:rPr>
        <w:t xml:space="preserve">International Atomic Energy Agency, Vienna, Austria, </w:t>
      </w:r>
      <w:r w:rsidRPr="00C6141D">
        <w:rPr>
          <w:rFonts w:ascii="Times New Roman" w:hAnsi="Times New Roman" w:cs="Times New Roman"/>
          <w:i/>
          <w:position w:val="10"/>
          <w:sz w:val="20"/>
          <w:szCs w:val="20"/>
          <w:lang w:val="en-US"/>
        </w:rPr>
        <w:t>7</w:t>
      </w:r>
      <w:r w:rsidRPr="00C6141D">
        <w:rPr>
          <w:rFonts w:ascii="Times New Roman" w:hAnsi="Times New Roman" w:cs="Times New Roman"/>
          <w:i/>
          <w:sz w:val="20"/>
          <w:szCs w:val="20"/>
          <w:lang w:val="en-US"/>
        </w:rPr>
        <w:t xml:space="preserve">International Atomic Energy Agency, Vienna A-1400, Austria, </w:t>
      </w:r>
      <w:r w:rsidRPr="00C6141D">
        <w:rPr>
          <w:rFonts w:ascii="Times New Roman" w:hAnsi="Times New Roman" w:cs="Times New Roman"/>
          <w:i/>
          <w:position w:val="10"/>
          <w:sz w:val="20"/>
          <w:szCs w:val="20"/>
          <w:lang w:val="en-US"/>
        </w:rPr>
        <w:t>8</w:t>
      </w:r>
      <w:r w:rsidRPr="00C6141D">
        <w:rPr>
          <w:rFonts w:ascii="Times New Roman" w:hAnsi="Times New Roman" w:cs="Times New Roman"/>
          <w:i/>
          <w:sz w:val="20"/>
          <w:szCs w:val="20"/>
          <w:lang w:val="en-US"/>
        </w:rPr>
        <w:t xml:space="preserve">IAEA, Vienna, Austria </w:t>
      </w:r>
      <w:r w:rsidRPr="00C6141D">
        <w:rPr>
          <w:rFonts w:ascii="Times New Roman" w:hAnsi="Times New Roman" w:cs="Times New Roman"/>
          <w:i/>
          <w:position w:val="-14"/>
          <w:sz w:val="20"/>
          <w:szCs w:val="20"/>
          <w:lang w:val="en-US"/>
        </w:rPr>
        <w:t xml:space="preserve"> </w:t>
      </w:r>
    </w:p>
    <w:p w:rsidR="00C6141D" w:rsidRPr="00C6141D" w:rsidRDefault="00C6141D" w:rsidP="0054066C">
      <w:pPr>
        <w:widowControl w:val="0"/>
        <w:autoSpaceDE w:val="0"/>
        <w:autoSpaceDN w:val="0"/>
        <w:adjustRightInd w:val="0"/>
        <w:spacing w:line="360" w:lineRule="auto"/>
        <w:ind w:left="720"/>
        <w:rPr>
          <w:rFonts w:ascii="Times New Roman" w:hAnsi="Times New Roman" w:cs="Times New Roman"/>
          <w:sz w:val="20"/>
          <w:szCs w:val="20"/>
          <w:lang w:val="en-US"/>
        </w:rPr>
      </w:pPr>
      <w:r w:rsidRPr="00C6141D">
        <w:rPr>
          <w:rFonts w:ascii="Times New Roman" w:hAnsi="Times New Roman" w:cs="Times New Roman"/>
          <w:b/>
          <w:sz w:val="20"/>
          <w:szCs w:val="20"/>
          <w:lang w:val="en-US"/>
        </w:rPr>
        <w:t>Purpose/Objective(s):</w:t>
      </w:r>
      <w:r>
        <w:rPr>
          <w:rFonts w:ascii="Times New Roman" w:hAnsi="Times New Roman" w:cs="Times New Roman"/>
          <w:sz w:val="20"/>
          <w:szCs w:val="20"/>
          <w:lang w:val="en-US"/>
        </w:rPr>
        <w:t xml:space="preserve"> To compare </w:t>
      </w:r>
      <w:proofErr w:type="spellStart"/>
      <w:r>
        <w:rPr>
          <w:rFonts w:ascii="Times New Roman" w:hAnsi="Times New Roman" w:cs="Times New Roman"/>
          <w:sz w:val="20"/>
          <w:szCs w:val="20"/>
          <w:lang w:val="en-US"/>
        </w:rPr>
        <w:t>loco</w:t>
      </w:r>
      <w:r w:rsidRPr="00C6141D">
        <w:rPr>
          <w:rFonts w:ascii="Times New Roman" w:hAnsi="Times New Roman" w:cs="Times New Roman"/>
          <w:sz w:val="20"/>
          <w:szCs w:val="20"/>
          <w:lang w:val="en-US"/>
        </w:rPr>
        <w:t>regional</w:t>
      </w:r>
      <w:proofErr w:type="spellEnd"/>
      <w:r w:rsidRPr="00C6141D">
        <w:rPr>
          <w:rFonts w:ascii="Times New Roman" w:hAnsi="Times New Roman" w:cs="Times New Roman"/>
          <w:sz w:val="20"/>
          <w:szCs w:val="20"/>
          <w:lang w:val="en-US"/>
        </w:rPr>
        <w:t xml:space="preserve"> (LR) control and adverse effects (AE) of external beam radiotherapy (EBRT) in combination with 2 different fractionation schedules of HDR brachytherapy (HDRBT) with or without chemotherapy (CT) in cervical cancer. </w:t>
      </w:r>
    </w:p>
    <w:p w:rsidR="00C6141D" w:rsidRPr="00C6141D" w:rsidRDefault="00C6141D" w:rsidP="0054066C">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C6141D">
        <w:rPr>
          <w:rFonts w:ascii="Times New Roman" w:hAnsi="Times New Roman" w:cs="Times New Roman"/>
          <w:b/>
          <w:sz w:val="20"/>
          <w:szCs w:val="20"/>
          <w:lang w:val="en-US"/>
        </w:rPr>
        <w:t>Materials/Methods:</w:t>
      </w:r>
      <w:r w:rsidRPr="00C6141D">
        <w:rPr>
          <w:rFonts w:ascii="Times New Roman" w:hAnsi="Times New Roman" w:cs="Times New Roman"/>
          <w:sz w:val="20"/>
          <w:szCs w:val="20"/>
          <w:lang w:val="en-US"/>
        </w:rPr>
        <w:t xml:space="preserve"> A prospective, randomized, multicenter international trial of the IAEA tested four combinations of HDRBT and CT in cervical cancer. Eligible patients were women with stages IIB and IIIB cervical carcinoma being treated with curative intent and with no contraindications for EBRT, HDRBT and CT. All patients were to receive EBRT, 46 </w:t>
      </w:r>
      <w:proofErr w:type="spellStart"/>
      <w:r w:rsidR="00C86BAA">
        <w:rPr>
          <w:rFonts w:ascii="Times New Roman" w:hAnsi="Times New Roman" w:cs="Times New Roman"/>
          <w:sz w:val="20"/>
          <w:szCs w:val="20"/>
          <w:lang w:val="en-US"/>
        </w:rPr>
        <w:t>Gy</w:t>
      </w:r>
      <w:proofErr w:type="spellEnd"/>
      <w:r w:rsidR="00C86BAA">
        <w:rPr>
          <w:rFonts w:ascii="Times New Roman" w:hAnsi="Times New Roman" w:cs="Times New Roman"/>
          <w:sz w:val="20"/>
          <w:szCs w:val="20"/>
          <w:lang w:val="en-US"/>
        </w:rPr>
        <w:t xml:space="preserve"> in 23 </w:t>
      </w:r>
      <w:r w:rsidRPr="00C6141D">
        <w:rPr>
          <w:rFonts w:ascii="Times New Roman" w:hAnsi="Times New Roman" w:cs="Times New Roman"/>
          <w:sz w:val="20"/>
          <w:szCs w:val="20"/>
          <w:lang w:val="en-US"/>
        </w:rPr>
        <w:t xml:space="preserve">fractions to the pelvis. Prescribed HDRBT dose in arm A was 4 applications of 7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xml:space="preserve"> each to point ‘A’ while in arm B it was 2 applications of 9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xml:space="preserve">. Arms C and D were similar to arms A and </w:t>
      </w:r>
      <w:r w:rsidR="00C86BAA">
        <w:rPr>
          <w:rFonts w:ascii="Times New Roman" w:hAnsi="Times New Roman" w:cs="Times New Roman"/>
          <w:sz w:val="20"/>
          <w:szCs w:val="20"/>
          <w:lang w:val="en-US"/>
        </w:rPr>
        <w:t xml:space="preserve">B but with </w:t>
      </w:r>
      <w:proofErr w:type="spellStart"/>
      <w:r w:rsidR="00C86BAA">
        <w:rPr>
          <w:rFonts w:ascii="Times New Roman" w:hAnsi="Times New Roman" w:cs="Times New Roman"/>
          <w:sz w:val="20"/>
          <w:szCs w:val="20"/>
          <w:lang w:val="en-US"/>
        </w:rPr>
        <w:t>cisplatin</w:t>
      </w:r>
      <w:proofErr w:type="spellEnd"/>
      <w:r w:rsidR="00C86BAA">
        <w:rPr>
          <w:rFonts w:ascii="Times New Roman" w:hAnsi="Times New Roman" w:cs="Times New Roman"/>
          <w:sz w:val="20"/>
          <w:szCs w:val="20"/>
          <w:lang w:val="en-US"/>
        </w:rPr>
        <w:t xml:space="preserve"> (40mg/m2) </w:t>
      </w:r>
      <w:r w:rsidRPr="00C6141D">
        <w:rPr>
          <w:rFonts w:ascii="Times New Roman" w:hAnsi="Times New Roman" w:cs="Times New Roman"/>
          <w:sz w:val="20"/>
          <w:szCs w:val="20"/>
          <w:lang w:val="en-US"/>
        </w:rPr>
        <w:t xml:space="preserve">in weeks 1 through 5. LR tumor control, overall survival and acute/late AE were compared between arms. Using a/b values of 10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xml:space="preserve"> for tumor control and 3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xml:space="preserve"> for late-AE, biological effective doses (BED) and equivalent doses (EQD2) were calculated for each arm. Arms A and C had </w:t>
      </w:r>
      <w:r>
        <w:rPr>
          <w:rFonts w:ascii="Times New Roman" w:hAnsi="Times New Roman" w:cs="Times New Roman"/>
          <w:sz w:val="20"/>
          <w:szCs w:val="20"/>
          <w:lang w:val="en-US"/>
        </w:rPr>
        <w:t xml:space="preserve">BED10 = 102.8Gy10 (EQD2 = 85.7 </w:t>
      </w:r>
      <w:proofErr w:type="spellStart"/>
      <w:r>
        <w:rPr>
          <w:rFonts w:ascii="Times New Roman" w:hAnsi="Times New Roman" w:cs="Times New Roman"/>
          <w:sz w:val="20"/>
          <w:szCs w:val="20"/>
          <w:lang w:val="en-US"/>
        </w:rPr>
        <w:t>Gy</w:t>
      </w:r>
      <w:proofErr w:type="spellEnd"/>
      <w:r>
        <w:rPr>
          <w:rFonts w:ascii="Times New Roman" w:hAnsi="Times New Roman" w:cs="Times New Roman"/>
          <w:sz w:val="20"/>
          <w:szCs w:val="20"/>
          <w:lang w:val="en-US"/>
        </w:rPr>
        <w:t>) and BED3 = 28.3Gy3 (EQD2 =</w:t>
      </w:r>
      <w:r w:rsidR="00C86BAA">
        <w:rPr>
          <w:rFonts w:ascii="Times New Roman" w:hAnsi="Times New Roman" w:cs="Times New Roman"/>
          <w:sz w:val="20"/>
          <w:szCs w:val="20"/>
          <w:lang w:val="en-US"/>
        </w:rPr>
        <w:t xml:space="preserve"> </w:t>
      </w:r>
      <w:r w:rsidRPr="00C6141D">
        <w:rPr>
          <w:rFonts w:ascii="Times New Roman" w:hAnsi="Times New Roman" w:cs="Times New Roman"/>
          <w:sz w:val="20"/>
          <w:szCs w:val="20"/>
          <w:lang w:val="en-US"/>
        </w:rPr>
        <w:t xml:space="preserve">77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For arms B and D, BED1</w:t>
      </w:r>
      <w:r>
        <w:rPr>
          <w:rFonts w:ascii="Times New Roman" w:hAnsi="Times New Roman" w:cs="Times New Roman"/>
          <w:sz w:val="20"/>
          <w:szCs w:val="20"/>
          <w:lang w:val="en-US"/>
        </w:rPr>
        <w:t>0 and BED3 were 89.4 Gy10 (EQD2 =</w:t>
      </w:r>
      <w:r w:rsidRPr="00C6141D">
        <w:rPr>
          <w:rFonts w:ascii="Times New Roman" w:hAnsi="Times New Roman" w:cs="Times New Roman"/>
          <w:sz w:val="20"/>
          <w:szCs w:val="20"/>
          <w:lang w:val="en-US"/>
        </w:rPr>
        <w:t xml:space="preserve"> 74.5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and 115.8 Gy3 (EQD2</w:t>
      </w:r>
      <w:r>
        <w:rPr>
          <w:rFonts w:ascii="Times New Roman" w:hAnsi="Times New Roman" w:cs="Times New Roman"/>
          <w:sz w:val="20"/>
          <w:szCs w:val="20"/>
          <w:lang w:val="en-US"/>
        </w:rPr>
        <w:t>=</w:t>
      </w:r>
      <w:r w:rsidR="00C86BAA">
        <w:rPr>
          <w:rFonts w:ascii="Times New Roman" w:hAnsi="Times New Roman" w:cs="Times New Roman"/>
          <w:sz w:val="20"/>
          <w:szCs w:val="20"/>
          <w:lang w:val="en-US"/>
        </w:rPr>
        <w:t xml:space="preserve"> 69.4 </w:t>
      </w:r>
      <w:proofErr w:type="spellStart"/>
      <w:r w:rsidR="00C86BAA">
        <w:rPr>
          <w:rFonts w:ascii="Times New Roman" w:hAnsi="Times New Roman" w:cs="Times New Roman"/>
          <w:sz w:val="20"/>
          <w:szCs w:val="20"/>
          <w:lang w:val="en-US"/>
        </w:rPr>
        <w:t>Gy</w:t>
      </w:r>
      <w:proofErr w:type="spellEnd"/>
      <w:r w:rsidR="00C86BAA">
        <w:rPr>
          <w:rFonts w:ascii="Times New Roman" w:hAnsi="Times New Roman" w:cs="Times New Roman"/>
          <w:sz w:val="20"/>
          <w:szCs w:val="20"/>
          <w:lang w:val="en-US"/>
        </w:rPr>
        <w:t xml:space="preserve">). </w:t>
      </w:r>
    </w:p>
    <w:p w:rsidR="00C6141D" w:rsidRPr="00C6141D" w:rsidRDefault="00C6141D" w:rsidP="0054066C">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C6141D">
        <w:rPr>
          <w:rFonts w:ascii="Times New Roman" w:hAnsi="Times New Roman" w:cs="Times New Roman"/>
          <w:b/>
          <w:sz w:val="20"/>
          <w:szCs w:val="20"/>
          <w:lang w:val="en-US"/>
        </w:rPr>
        <w:t>Results:</w:t>
      </w:r>
      <w:r w:rsidRPr="00C6141D">
        <w:rPr>
          <w:rFonts w:ascii="Times New Roman" w:hAnsi="Times New Roman" w:cs="Times New Roman"/>
          <w:sz w:val="20"/>
          <w:szCs w:val="20"/>
          <w:lang w:val="en-US"/>
        </w:rPr>
        <w:t xml:space="preserve"> Between September 2005 and May 2010, 601 patients were randomized. By center, there were 257 cases from Mumbai, 147 cases from Peru, 76 from South Africa, 53 from Brazil, 31 from Pakistan, 19 from Morocco, and 18 from Macedonia. Average a</w:t>
      </w:r>
      <w:r w:rsidR="00C86BAA">
        <w:rPr>
          <w:rFonts w:ascii="Times New Roman" w:hAnsi="Times New Roman" w:cs="Times New Roman"/>
          <w:sz w:val="20"/>
          <w:szCs w:val="20"/>
          <w:lang w:val="en-US"/>
        </w:rPr>
        <w:t xml:space="preserve">ge was 48.7 yr (26 - 71). Four </w:t>
      </w:r>
      <w:r w:rsidRPr="00C6141D">
        <w:rPr>
          <w:rFonts w:ascii="Times New Roman" w:hAnsi="Times New Roman" w:cs="Times New Roman"/>
          <w:sz w:val="20"/>
          <w:szCs w:val="20"/>
          <w:lang w:val="en-US"/>
        </w:rPr>
        <w:t>hundred and forty patients had stage IIB cases</w:t>
      </w:r>
      <w:r>
        <w:rPr>
          <w:rFonts w:ascii="Times New Roman" w:hAnsi="Times New Roman" w:cs="Times New Roman"/>
          <w:sz w:val="20"/>
          <w:szCs w:val="20"/>
          <w:lang w:val="en-US"/>
        </w:rPr>
        <w:t xml:space="preserve">, and 161 had stage IIIB (P= </w:t>
      </w:r>
      <w:r w:rsidR="00C86BAA">
        <w:rPr>
          <w:rFonts w:ascii="Times New Roman" w:hAnsi="Times New Roman" w:cs="Times New Roman"/>
          <w:sz w:val="20"/>
          <w:szCs w:val="20"/>
          <w:lang w:val="en-US"/>
        </w:rPr>
        <w:t xml:space="preserve">.7 </w:t>
      </w:r>
      <w:r w:rsidRPr="00C6141D">
        <w:rPr>
          <w:rFonts w:ascii="Times New Roman" w:hAnsi="Times New Roman" w:cs="Times New Roman"/>
          <w:sz w:val="20"/>
          <w:szCs w:val="20"/>
          <w:lang w:val="en-US"/>
        </w:rPr>
        <w:t xml:space="preserve">across arms). Overall 5-yr survival was 71% for IIB patients and 58% for </w:t>
      </w:r>
      <w:r>
        <w:rPr>
          <w:rFonts w:ascii="Times New Roman" w:hAnsi="Times New Roman" w:cs="Times New Roman"/>
          <w:sz w:val="20"/>
          <w:szCs w:val="20"/>
          <w:lang w:val="en-US"/>
        </w:rPr>
        <w:t xml:space="preserve">IIIB patients (P= </w:t>
      </w:r>
      <w:r w:rsidRPr="00C6141D">
        <w:rPr>
          <w:rFonts w:ascii="Times New Roman" w:hAnsi="Times New Roman" w:cs="Times New Roman"/>
          <w:sz w:val="20"/>
          <w:szCs w:val="20"/>
          <w:lang w:val="en-US"/>
        </w:rPr>
        <w:t xml:space="preserve">.03). The 5-yr survival for all women, combined, was 67.2% (95% CI 62.7-71.2%). By treatment arm, 5-yr overall survival was: 62.2% in A, 68.3% in B, 73.1% in C, and 65.1% in D. By log-rank test, stratified by center and stage, there was no statistical difference in overall </w:t>
      </w:r>
      <w:r>
        <w:rPr>
          <w:rFonts w:ascii="Times New Roman" w:hAnsi="Times New Roman" w:cs="Times New Roman"/>
          <w:sz w:val="20"/>
          <w:szCs w:val="20"/>
          <w:lang w:val="en-US"/>
        </w:rPr>
        <w:t xml:space="preserve">survival by study arm (P= </w:t>
      </w:r>
      <w:r w:rsidRPr="00C6141D">
        <w:rPr>
          <w:rFonts w:ascii="Times New Roman" w:hAnsi="Times New Roman" w:cs="Times New Roman"/>
          <w:sz w:val="20"/>
          <w:szCs w:val="20"/>
          <w:lang w:val="en-US"/>
        </w:rPr>
        <w:t xml:space="preserve">.1). For the 440 stage IIB patients, there was no statistical difference in survival with 4 HDR versus 2 HDR, and no difference with or without CT. Five-year tumor control and adverse effects are reported in table 1. Tumor control was lower in arms B and D compared to </w:t>
      </w:r>
      <w:r>
        <w:rPr>
          <w:rFonts w:ascii="Times New Roman" w:hAnsi="Times New Roman" w:cs="Times New Roman"/>
          <w:sz w:val="20"/>
          <w:szCs w:val="20"/>
          <w:lang w:val="en-US"/>
        </w:rPr>
        <w:t xml:space="preserve">arms A and C (P= </w:t>
      </w:r>
      <w:r>
        <w:rPr>
          <w:rFonts w:ascii="Times New Roman" w:hAnsi="Times New Roman" w:cs="Times New Roman"/>
          <w:sz w:val="20"/>
          <w:szCs w:val="20"/>
          <w:lang w:val="en-US"/>
        </w:rPr>
        <w:lastRenderedPageBreak/>
        <w:t>.</w:t>
      </w:r>
      <w:r w:rsidRPr="00C6141D">
        <w:rPr>
          <w:rFonts w:ascii="Times New Roman" w:hAnsi="Times New Roman" w:cs="Times New Roman"/>
          <w:sz w:val="20"/>
          <w:szCs w:val="20"/>
          <w:lang w:val="en-US"/>
        </w:rPr>
        <w:t xml:space="preserve">0007). No statistically significant difference in AE was found. The only effect of </w:t>
      </w:r>
      <w:proofErr w:type="spellStart"/>
      <w:r w:rsidRPr="00C6141D">
        <w:rPr>
          <w:rFonts w:ascii="Times New Roman" w:hAnsi="Times New Roman" w:cs="Times New Roman"/>
          <w:sz w:val="20"/>
          <w:szCs w:val="20"/>
          <w:lang w:val="en-US"/>
        </w:rPr>
        <w:t>cisplatin</w:t>
      </w:r>
      <w:proofErr w:type="spellEnd"/>
      <w:r w:rsidRPr="00C6141D">
        <w:rPr>
          <w:rFonts w:ascii="Times New Roman" w:hAnsi="Times New Roman" w:cs="Times New Roman"/>
          <w:sz w:val="20"/>
          <w:szCs w:val="20"/>
          <w:lang w:val="en-US"/>
        </w:rPr>
        <w:t xml:space="preserve"> was an in</w:t>
      </w:r>
      <w:r w:rsidR="00C86BAA">
        <w:rPr>
          <w:rFonts w:ascii="Times New Roman" w:hAnsi="Times New Roman" w:cs="Times New Roman"/>
          <w:sz w:val="20"/>
          <w:szCs w:val="20"/>
          <w:lang w:val="en-US"/>
        </w:rPr>
        <w:t xml:space="preserve">creased-AE trend in the 2x9 </w:t>
      </w:r>
      <w:proofErr w:type="spellStart"/>
      <w:r w:rsidR="00C86BAA">
        <w:rPr>
          <w:rFonts w:ascii="Times New Roman" w:hAnsi="Times New Roman" w:cs="Times New Roman"/>
          <w:sz w:val="20"/>
          <w:szCs w:val="20"/>
          <w:lang w:val="en-US"/>
        </w:rPr>
        <w:t>Gy</w:t>
      </w:r>
      <w:proofErr w:type="spellEnd"/>
      <w:r w:rsidR="00C86BA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arm-B (P= </w:t>
      </w:r>
      <w:r w:rsidR="00C86BAA">
        <w:rPr>
          <w:rFonts w:ascii="Times New Roman" w:hAnsi="Times New Roman" w:cs="Times New Roman"/>
          <w:sz w:val="20"/>
          <w:szCs w:val="20"/>
          <w:lang w:val="en-US"/>
        </w:rPr>
        <w:t xml:space="preserve">.066). </w:t>
      </w:r>
    </w:p>
    <w:p w:rsidR="00C6141D" w:rsidRPr="00C6141D" w:rsidRDefault="00C6141D" w:rsidP="0054066C">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C6141D">
        <w:rPr>
          <w:rFonts w:ascii="Times New Roman" w:hAnsi="Times New Roman" w:cs="Times New Roman"/>
          <w:b/>
          <w:sz w:val="20"/>
          <w:szCs w:val="20"/>
          <w:lang w:val="en-US"/>
        </w:rPr>
        <w:t>Conclusion:</w:t>
      </w:r>
      <w:r w:rsidRPr="00C6141D">
        <w:rPr>
          <w:rFonts w:ascii="Times New Roman" w:hAnsi="Times New Roman" w:cs="Times New Roman"/>
          <w:sz w:val="20"/>
          <w:szCs w:val="20"/>
          <w:lang w:val="en-US"/>
        </w:rPr>
        <w:t xml:space="preserve"> A dose-effect relationship was found for tumor control in our study. Local control was significantly superior for the arms including 4 fractions of 7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xml:space="preserve"> HDRBT compared to 2 fractions of 9 </w:t>
      </w:r>
      <w:proofErr w:type="spellStart"/>
      <w:r w:rsidRPr="00C6141D">
        <w:rPr>
          <w:rFonts w:ascii="Times New Roman" w:hAnsi="Times New Roman" w:cs="Times New Roman"/>
          <w:sz w:val="20"/>
          <w:szCs w:val="20"/>
          <w:lang w:val="en-US"/>
        </w:rPr>
        <w:t>Gy</w:t>
      </w:r>
      <w:proofErr w:type="spellEnd"/>
      <w:r w:rsidRPr="00C6141D">
        <w:rPr>
          <w:rFonts w:ascii="Times New Roman" w:hAnsi="Times New Roman" w:cs="Times New Roman"/>
          <w:sz w:val="20"/>
          <w:szCs w:val="20"/>
          <w:lang w:val="en-US"/>
        </w:rPr>
        <w:t xml:space="preserve">. No statistically significant differences in OS </w:t>
      </w:r>
      <w:r w:rsidR="00C86BAA">
        <w:rPr>
          <w:rFonts w:ascii="Times New Roman" w:hAnsi="Times New Roman" w:cs="Times New Roman"/>
          <w:sz w:val="20"/>
          <w:szCs w:val="20"/>
          <w:lang w:val="en-US"/>
        </w:rPr>
        <w:t xml:space="preserve">or AE were found between arms. </w:t>
      </w:r>
    </w:p>
    <w:p w:rsidR="00C6141D" w:rsidRPr="00C6141D" w:rsidRDefault="00C6141D" w:rsidP="00C6141D">
      <w:pPr>
        <w:widowControl w:val="0"/>
        <w:autoSpaceDE w:val="0"/>
        <w:autoSpaceDN w:val="0"/>
        <w:adjustRightInd w:val="0"/>
        <w:rPr>
          <w:rFonts w:ascii="Times New Roman" w:hAnsi="Times New Roman" w:cs="Times New Roman"/>
          <w:sz w:val="20"/>
          <w:szCs w:val="20"/>
          <w:lang w:val="en-US"/>
        </w:rPr>
      </w:pPr>
    </w:p>
    <w:p w:rsidR="00C6141D" w:rsidRPr="00C6141D" w:rsidRDefault="00C6141D" w:rsidP="00C6141D">
      <w:pPr>
        <w:widowControl w:val="0"/>
        <w:autoSpaceDE w:val="0"/>
        <w:autoSpaceDN w:val="0"/>
        <w:adjustRightInd w:val="0"/>
        <w:spacing w:after="240"/>
        <w:rPr>
          <w:rFonts w:ascii="Times New Roman" w:hAnsi="Times New Roman" w:cs="Times New Roman"/>
          <w:sz w:val="20"/>
          <w:szCs w:val="20"/>
          <w:lang w:val="en-US"/>
        </w:rPr>
      </w:pPr>
    </w:p>
    <w:p w:rsidR="00B029DE" w:rsidRPr="00C6141D" w:rsidRDefault="00B029DE" w:rsidP="00B029DE">
      <w:pPr>
        <w:spacing w:line="360" w:lineRule="auto"/>
        <w:ind w:left="720"/>
        <w:rPr>
          <w:rFonts w:ascii="Times New Roman" w:hAnsi="Times New Roman" w:cs="Times New Roman"/>
          <w:sz w:val="20"/>
          <w:szCs w:val="20"/>
        </w:rPr>
      </w:pPr>
    </w:p>
    <w:sectPr w:rsidR="00B029DE" w:rsidRPr="00C6141D" w:rsidSect="00FB4F8E">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compat>
    <w:useFELayout/>
  </w:compat>
  <w:rsids>
    <w:rsidRoot w:val="00357966"/>
    <w:rsid w:val="001F110E"/>
    <w:rsid w:val="00357966"/>
    <w:rsid w:val="0054066C"/>
    <w:rsid w:val="00843D14"/>
    <w:rsid w:val="00B029DE"/>
    <w:rsid w:val="00BF1373"/>
    <w:rsid w:val="00C6141D"/>
    <w:rsid w:val="00C86BAA"/>
    <w:rsid w:val="00CA5776"/>
    <w:rsid w:val="00ED34E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4E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029DE"/>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B029DE"/>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9DE"/>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B029DE"/>
    <w:rPr>
      <w:rFonts w:ascii="Lucida Grande CE" w:hAnsi="Lucida Grande CE" w:cs="Lucida Grande C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494</Words>
  <Characters>2920</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Admin</cp:lastModifiedBy>
  <cp:revision>7</cp:revision>
  <dcterms:created xsi:type="dcterms:W3CDTF">2017-10-23T05:56:00Z</dcterms:created>
  <dcterms:modified xsi:type="dcterms:W3CDTF">2017-11-01T10:53:00Z</dcterms:modified>
</cp:coreProperties>
</file>