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3EEEA" w14:textId="77777777" w:rsidR="001F110E" w:rsidRPr="00154343" w:rsidRDefault="00154343" w:rsidP="00154343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154343">
        <w:rPr>
          <w:rFonts w:ascii="Times New Roman" w:hAnsi="Times New Roman" w:cs="Times New Roman"/>
          <w:b/>
          <w:szCs w:val="20"/>
        </w:rPr>
        <w:t>Fractionation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Schedule and Risk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of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Local-Regional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Failure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for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treated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on NRG </w:t>
      </w:r>
      <w:proofErr w:type="spellStart"/>
      <w:r w:rsidRPr="00154343">
        <w:rPr>
          <w:rFonts w:ascii="Times New Roman" w:hAnsi="Times New Roman" w:cs="Times New Roman"/>
          <w:b/>
          <w:szCs w:val="20"/>
        </w:rPr>
        <w:t>Oncology</w:t>
      </w:r>
      <w:proofErr w:type="spellEnd"/>
      <w:r w:rsidRPr="00154343">
        <w:rPr>
          <w:rFonts w:ascii="Times New Roman" w:hAnsi="Times New Roman" w:cs="Times New Roman"/>
          <w:b/>
          <w:szCs w:val="20"/>
        </w:rPr>
        <w:t xml:space="preserve"> RTOG 9003 and 0129</w:t>
      </w:r>
    </w:p>
    <w:p w14:paraId="78718FE6" w14:textId="77777777" w:rsidR="00154343" w:rsidRPr="00154343" w:rsidRDefault="00154343" w:rsidP="00154343">
      <w:pPr>
        <w:rPr>
          <w:rFonts w:ascii="Times New Roman" w:hAnsi="Times New Roman" w:cs="Times New Roman"/>
          <w:sz w:val="20"/>
          <w:szCs w:val="20"/>
        </w:rPr>
      </w:pPr>
    </w:p>
    <w:p w14:paraId="37AA655D" w14:textId="77777777" w:rsidR="00154343" w:rsidRPr="00154343" w:rsidRDefault="00154343" w:rsidP="001543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4343">
        <w:rPr>
          <w:rFonts w:ascii="Times New Roman" w:hAnsi="Times New Roman" w:cs="Times New Roman"/>
          <w:sz w:val="20"/>
          <w:szCs w:val="20"/>
        </w:rPr>
        <w:t>A.A. Konski,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4343">
        <w:rPr>
          <w:rFonts w:ascii="Times New Roman" w:hAnsi="Times New Roman" w:cs="Times New Roman"/>
          <w:sz w:val="20"/>
          <w:szCs w:val="20"/>
        </w:rPr>
        <w:t xml:space="preserve"> J. Harris,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4343">
        <w:rPr>
          <w:rFonts w:ascii="Times New Roman" w:hAnsi="Times New Roman" w:cs="Times New Roman"/>
          <w:sz w:val="20"/>
          <w:szCs w:val="20"/>
        </w:rPr>
        <w:t xml:space="preserve"> H.E. Kim,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54343">
        <w:rPr>
          <w:rFonts w:ascii="Times New Roman" w:hAnsi="Times New Roman" w:cs="Times New Roman"/>
          <w:sz w:val="20"/>
          <w:szCs w:val="20"/>
        </w:rPr>
        <w:t xml:space="preserve"> P.F. Nguyen-Tan,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54343">
        <w:rPr>
          <w:rFonts w:ascii="Times New Roman" w:hAnsi="Times New Roman" w:cs="Times New Roman"/>
          <w:sz w:val="20"/>
          <w:szCs w:val="20"/>
        </w:rPr>
        <w:t xml:space="preserve"> K.K. Fu,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54343">
        <w:rPr>
          <w:rFonts w:ascii="Times New Roman" w:hAnsi="Times New Roman" w:cs="Times New Roman"/>
          <w:sz w:val="20"/>
          <w:szCs w:val="20"/>
        </w:rPr>
        <w:t>P.B. Schiff,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54343">
        <w:rPr>
          <w:rFonts w:ascii="Times New Roman" w:hAnsi="Times New Roman" w:cs="Times New Roman"/>
          <w:sz w:val="20"/>
          <w:szCs w:val="20"/>
        </w:rPr>
        <w:t xml:space="preserve"> D.I. Rosenthal,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154343">
        <w:rPr>
          <w:rFonts w:ascii="Times New Roman" w:hAnsi="Times New Roman" w:cs="Times New Roman"/>
          <w:sz w:val="20"/>
          <w:szCs w:val="20"/>
        </w:rPr>
        <w:t xml:space="preserve"> A. Trotti,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154343">
        <w:rPr>
          <w:rFonts w:ascii="Times New Roman" w:hAnsi="Times New Roman" w:cs="Times New Roman"/>
          <w:sz w:val="20"/>
          <w:szCs w:val="20"/>
        </w:rPr>
        <w:t xml:space="preserve"> S.A. Spencer,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154343">
        <w:rPr>
          <w:rFonts w:ascii="Times New Roman" w:hAnsi="Times New Roman" w:cs="Times New Roman"/>
          <w:sz w:val="20"/>
          <w:szCs w:val="20"/>
        </w:rPr>
        <w:t xml:space="preserve"> C.U. Jones,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154343">
        <w:rPr>
          <w:rFonts w:ascii="Times New Roman" w:hAnsi="Times New Roman" w:cs="Times New Roman"/>
          <w:sz w:val="20"/>
          <w:szCs w:val="20"/>
        </w:rPr>
        <w:t xml:space="preserve"> S.S. Yom,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154343">
        <w:rPr>
          <w:rFonts w:ascii="Times New Roman" w:hAnsi="Times New Roman" w:cs="Times New Roman"/>
          <w:sz w:val="20"/>
          <w:szCs w:val="20"/>
        </w:rPr>
        <w:t xml:space="preserve"> S.S. Yom,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154343">
        <w:rPr>
          <w:rFonts w:ascii="Times New Roman" w:hAnsi="Times New Roman" w:cs="Times New Roman"/>
          <w:sz w:val="20"/>
          <w:szCs w:val="20"/>
        </w:rPr>
        <w:t xml:space="preserve"> G. Shenouda,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154343">
        <w:rPr>
          <w:rFonts w:ascii="Times New Roman" w:hAnsi="Times New Roman" w:cs="Times New Roman"/>
          <w:sz w:val="20"/>
          <w:szCs w:val="20"/>
        </w:rPr>
        <w:t xml:space="preserve"> J.A. Ridge,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154343">
        <w:rPr>
          <w:rFonts w:ascii="Times New Roman" w:hAnsi="Times New Roman" w:cs="Times New Roman"/>
          <w:sz w:val="20"/>
          <w:szCs w:val="20"/>
        </w:rPr>
        <w:t xml:space="preserve"> C.J. Schultz,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154343">
        <w:rPr>
          <w:rFonts w:ascii="Times New Roman" w:hAnsi="Times New Roman" w:cs="Times New Roman"/>
          <w:sz w:val="20"/>
          <w:szCs w:val="20"/>
        </w:rPr>
        <w:t xml:space="preserve"> A.G. </w:t>
      </w:r>
      <w:proofErr w:type="spellStart"/>
      <w:r w:rsidRPr="00154343">
        <w:rPr>
          <w:rFonts w:ascii="Times New Roman" w:hAnsi="Times New Roman" w:cs="Times New Roman"/>
          <w:sz w:val="20"/>
          <w:szCs w:val="20"/>
        </w:rPr>
        <w:t>Pearce</w:t>
      </w:r>
      <w:proofErr w:type="spellEnd"/>
      <w:r w:rsidRPr="00154343">
        <w:rPr>
          <w:rFonts w:ascii="Times New Roman" w:hAnsi="Times New Roman" w:cs="Times New Roman"/>
          <w:sz w:val="20"/>
          <w:szCs w:val="20"/>
        </w:rPr>
        <w:t xml:space="preserve"> Jr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154343">
        <w:rPr>
          <w:rFonts w:ascii="Times New Roman" w:hAnsi="Times New Roman" w:cs="Times New Roman"/>
          <w:sz w:val="20"/>
          <w:szCs w:val="20"/>
        </w:rPr>
        <w:t xml:space="preserve"> M. Suntharalingam,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154343">
        <w:rPr>
          <w:rFonts w:ascii="Times New Roman" w:hAnsi="Times New Roman" w:cs="Times New Roman"/>
          <w:sz w:val="20"/>
          <w:szCs w:val="20"/>
        </w:rPr>
        <w:t xml:space="preserve"> Q. Zhang,2 and Q.T. Le</w:t>
      </w:r>
      <w:r w:rsidRPr="00154343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15434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EFF6F8A" w14:textId="77777777" w:rsidR="00154343" w:rsidRPr="00154343" w:rsidRDefault="00154343" w:rsidP="00154343">
      <w:pPr>
        <w:rPr>
          <w:rFonts w:ascii="Times New Roman" w:hAnsi="Times New Roman" w:cs="Times New Roman"/>
          <w:sz w:val="20"/>
          <w:szCs w:val="20"/>
        </w:rPr>
      </w:pPr>
    </w:p>
    <w:p w14:paraId="4866B0F0" w14:textId="77777777" w:rsidR="00154343" w:rsidRPr="002C0582" w:rsidRDefault="00154343" w:rsidP="002C0582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Pennsylvania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Philadelphia, PA,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NRG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Philadelphia, PA,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Wayne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State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University-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Karmanos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Institute, Detroit, MI,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Centre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Hospitalier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l’Universite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 de Montreal, Montreal, QC,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San Francisco, San Francisco, CA,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New York 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New York, NY,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MD Anderson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Head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Neck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Symptom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Working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Group,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Texas MD Anderson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Moffitt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Center and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Institute, Tampa, FL,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Alabama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Birmingham, Birmingham, AL,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Sutter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Group,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Modesto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CA, United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States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San Francisco, San Francisco, CA,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McGill 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Centre, Montreal, QC,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Fox Chase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Center, Philadelphia, PA,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14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Medical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College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Wisconsin,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Sudbury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Regional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Sudbury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ON,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16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Maryland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 xml:space="preserve"> Center, Baltimore, MD, </w:t>
      </w:r>
      <w:r w:rsidRPr="002C0582">
        <w:rPr>
          <w:rFonts w:ascii="Times New Roman" w:hAnsi="Times New Roman" w:cs="Times New Roman"/>
          <w:i/>
          <w:sz w:val="20"/>
          <w:szCs w:val="20"/>
          <w:vertAlign w:val="superscript"/>
        </w:rPr>
        <w:t>17</w:t>
      </w:r>
      <w:r w:rsidRPr="002C0582">
        <w:rPr>
          <w:rFonts w:ascii="Times New Roman" w:hAnsi="Times New Roman" w:cs="Times New Roman"/>
          <w:i/>
          <w:sz w:val="20"/>
          <w:szCs w:val="20"/>
        </w:rPr>
        <w:t xml:space="preserve">Stanford University, </w:t>
      </w:r>
      <w:proofErr w:type="spellStart"/>
      <w:r w:rsidRPr="002C0582">
        <w:rPr>
          <w:rFonts w:ascii="Times New Roman" w:hAnsi="Times New Roman" w:cs="Times New Roman"/>
          <w:i/>
          <w:sz w:val="20"/>
          <w:szCs w:val="20"/>
        </w:rPr>
        <w:t>Stanford</w:t>
      </w:r>
      <w:proofErr w:type="spellEnd"/>
      <w:r w:rsidRPr="002C0582">
        <w:rPr>
          <w:rFonts w:ascii="Times New Roman" w:hAnsi="Times New Roman" w:cs="Times New Roman"/>
          <w:i/>
          <w:sz w:val="20"/>
          <w:szCs w:val="20"/>
        </w:rPr>
        <w:t>, CA</w:t>
      </w:r>
    </w:p>
    <w:p w14:paraId="269EBCAF" w14:textId="77777777" w:rsidR="00154343" w:rsidRPr="00154343" w:rsidRDefault="00154343" w:rsidP="00154343">
      <w:pPr>
        <w:rPr>
          <w:rFonts w:ascii="Times New Roman" w:hAnsi="Times New Roman" w:cs="Times New Roman"/>
          <w:sz w:val="20"/>
          <w:szCs w:val="20"/>
        </w:rPr>
      </w:pPr>
    </w:p>
    <w:p w14:paraId="32B942B8" w14:textId="77777777" w:rsidR="00154343" w:rsidRPr="00005911" w:rsidRDefault="00154343" w:rsidP="002C05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05911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005911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005911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005911">
        <w:rPr>
          <w:rFonts w:ascii="Times New Roman" w:hAnsi="Times New Roman" w:cs="Times New Roman"/>
          <w:b/>
          <w:sz w:val="20"/>
          <w:szCs w:val="20"/>
        </w:rPr>
        <w:t>(s):</w:t>
      </w:r>
      <w:r w:rsidRPr="00005911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unplanned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(RT)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breaks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local-regional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(LRF)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on NRG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Oncology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RTOG 9003 and 0129.</w:t>
      </w:r>
    </w:p>
    <w:p w14:paraId="084148B7" w14:textId="77777777" w:rsidR="00005911" w:rsidRPr="00005911" w:rsidRDefault="00154343" w:rsidP="000059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05911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unplanned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break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on LRF (as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end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RT)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competing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risks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on RTOG 9003 and 0129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complete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response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RT.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ratios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by study and/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assigned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applicable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) and model fit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Akaike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 w:cs="Times New Roman"/>
          <w:sz w:val="20"/>
          <w:szCs w:val="20"/>
        </w:rPr>
        <w:t>criteria</w:t>
      </w:r>
      <w:proofErr w:type="spellEnd"/>
      <w:r w:rsidRPr="00005911">
        <w:rPr>
          <w:rFonts w:ascii="Times New Roman" w:hAnsi="Times New Roman" w:cs="Times New Roman"/>
          <w:sz w:val="20"/>
          <w:szCs w:val="20"/>
        </w:rPr>
        <w:t xml:space="preserve"> (AIC).</w:t>
      </w:r>
    </w:p>
    <w:p w14:paraId="4B8F4CFA" w14:textId="77777777" w:rsidR="002C0582" w:rsidRPr="00005911" w:rsidRDefault="002C0582" w:rsidP="00005911">
      <w:p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005911">
        <w:rPr>
          <w:rFonts w:ascii="Times New Roman" w:hAnsi="Times New Roman"/>
          <w:b/>
          <w:sz w:val="20"/>
          <w:szCs w:val="20"/>
        </w:rPr>
        <w:t>Results</w:t>
      </w:r>
      <w:proofErr w:type="spellEnd"/>
      <w:r w:rsidRPr="00005911">
        <w:rPr>
          <w:rFonts w:ascii="Times New Roman" w:hAnsi="Times New Roman"/>
          <w:b/>
          <w:sz w:val="20"/>
          <w:szCs w:val="20"/>
        </w:rPr>
        <w:t>:</w:t>
      </w:r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1,856 </w:t>
      </w:r>
      <w:proofErr w:type="spellStart"/>
      <w:r w:rsidRPr="00005911">
        <w:rPr>
          <w:rFonts w:ascii="Times New Roman" w:hAnsi="Times New Roman"/>
          <w:sz w:val="20"/>
          <w:szCs w:val="20"/>
        </w:rPr>
        <w:t>patients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were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treated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study </w:t>
      </w:r>
      <w:proofErr w:type="spellStart"/>
      <w:r w:rsidRPr="00005911">
        <w:rPr>
          <w:rFonts w:ascii="Times New Roman" w:hAnsi="Times New Roman"/>
          <w:sz w:val="20"/>
          <w:szCs w:val="20"/>
        </w:rPr>
        <w:t>protocols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, 1246 </w:t>
      </w:r>
      <w:proofErr w:type="spellStart"/>
      <w:r w:rsidRPr="00005911">
        <w:rPr>
          <w:rFonts w:ascii="Times New Roman" w:hAnsi="Times New Roman"/>
          <w:sz w:val="20"/>
          <w:szCs w:val="20"/>
        </w:rPr>
        <w:t>patients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were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eligible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analysis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after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adjusting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ineligibility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criteria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05911">
        <w:rPr>
          <w:rFonts w:ascii="Times New Roman" w:hAnsi="Times New Roman"/>
          <w:sz w:val="20"/>
          <w:szCs w:val="20"/>
        </w:rPr>
        <w:t>lack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complete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response prior to </w:t>
      </w:r>
      <w:proofErr w:type="spellStart"/>
      <w:r w:rsidRPr="00005911">
        <w:rPr>
          <w:rFonts w:ascii="Times New Roman" w:hAnsi="Times New Roman"/>
          <w:sz w:val="20"/>
          <w:szCs w:val="20"/>
        </w:rPr>
        <w:t>completion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RT, and </w:t>
      </w:r>
      <w:proofErr w:type="spellStart"/>
      <w:r w:rsidRPr="00005911">
        <w:rPr>
          <w:rFonts w:ascii="Times New Roman" w:hAnsi="Times New Roman"/>
          <w:sz w:val="20"/>
          <w:szCs w:val="20"/>
        </w:rPr>
        <w:t>missing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data </w:t>
      </w:r>
      <w:proofErr w:type="spellStart"/>
      <w:r w:rsidRPr="00005911">
        <w:rPr>
          <w:rFonts w:ascii="Times New Roman" w:hAnsi="Times New Roman"/>
          <w:sz w:val="20"/>
          <w:szCs w:val="20"/>
        </w:rPr>
        <w:t>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covariates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patients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analysis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had a </w:t>
      </w:r>
      <w:proofErr w:type="spellStart"/>
      <w:r w:rsidRPr="00005911">
        <w:rPr>
          <w:rFonts w:ascii="Times New Roman" w:hAnsi="Times New Roman"/>
          <w:sz w:val="20"/>
          <w:szCs w:val="20"/>
        </w:rPr>
        <w:t>lower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mean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/>
          <w:sz w:val="20"/>
          <w:szCs w:val="20"/>
        </w:rPr>
        <w:t>break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days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005911">
        <w:rPr>
          <w:rFonts w:ascii="Times New Roman" w:hAnsi="Times New Roman"/>
          <w:sz w:val="20"/>
          <w:szCs w:val="20"/>
        </w:rPr>
        <w:t>may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have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had </w:t>
      </w:r>
      <w:proofErr w:type="spellStart"/>
      <w:r w:rsidRPr="00005911">
        <w:rPr>
          <w:rFonts w:ascii="Times New Roman" w:hAnsi="Times New Roman"/>
          <w:sz w:val="20"/>
          <w:szCs w:val="20"/>
        </w:rPr>
        <w:t>less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LRF </w:t>
      </w:r>
      <w:proofErr w:type="spellStart"/>
      <w:r w:rsidRPr="00005911">
        <w:rPr>
          <w:rFonts w:ascii="Times New Roman" w:hAnsi="Times New Roman"/>
          <w:sz w:val="20"/>
          <w:szCs w:val="20"/>
        </w:rPr>
        <w:t>compared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005911">
        <w:rPr>
          <w:rFonts w:ascii="Times New Roman" w:hAnsi="Times New Roman"/>
          <w:sz w:val="20"/>
          <w:szCs w:val="20"/>
        </w:rPr>
        <w:t>patients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excluded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from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analysis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, (1.5 </w:t>
      </w:r>
      <w:proofErr w:type="spellStart"/>
      <w:r w:rsidRPr="00005911">
        <w:rPr>
          <w:rFonts w:ascii="Times New Roman" w:hAnsi="Times New Roman"/>
          <w:sz w:val="20"/>
          <w:szCs w:val="20"/>
        </w:rPr>
        <w:t>vs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2.4; P = 0.001) and (HR 0.83; P = 0.06). In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analyzed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sample, </w:t>
      </w:r>
      <w:proofErr w:type="spellStart"/>
      <w:r w:rsidRPr="00005911">
        <w:rPr>
          <w:rFonts w:ascii="Times New Roman" w:hAnsi="Times New Roman"/>
          <w:sz w:val="20"/>
          <w:szCs w:val="20"/>
        </w:rPr>
        <w:t>each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/>
          <w:sz w:val="20"/>
          <w:szCs w:val="20"/>
        </w:rPr>
        <w:t>break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day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increased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risk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LRF by 3.5% [hazard ratio (HR) 1.035 (95% CI 1.012-1.058)]. A </w:t>
      </w:r>
      <w:proofErr w:type="spellStart"/>
      <w:r w:rsidRPr="00005911">
        <w:rPr>
          <w:rFonts w:ascii="Times New Roman" w:hAnsi="Times New Roman"/>
          <w:sz w:val="20"/>
          <w:szCs w:val="20"/>
        </w:rPr>
        <w:t>significant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interaction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existed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between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/>
          <w:sz w:val="20"/>
          <w:szCs w:val="20"/>
        </w:rPr>
        <w:t>break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days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and LRF </w:t>
      </w:r>
      <w:proofErr w:type="spellStart"/>
      <w:r w:rsidRPr="00005911">
        <w:rPr>
          <w:rFonts w:ascii="Times New Roman" w:hAnsi="Times New Roman"/>
          <w:sz w:val="20"/>
          <w:szCs w:val="20"/>
        </w:rPr>
        <w:t>time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(P = 0.007)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best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fit </w:t>
      </w:r>
      <w:proofErr w:type="spellStart"/>
      <w:r w:rsidRPr="00005911">
        <w:rPr>
          <w:rFonts w:ascii="Times New Roman" w:hAnsi="Times New Roman"/>
          <w:sz w:val="20"/>
          <w:szCs w:val="20"/>
        </w:rPr>
        <w:t>splitting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time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into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two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intervals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before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005911">
        <w:rPr>
          <w:rFonts w:ascii="Times New Roman" w:hAnsi="Times New Roman"/>
          <w:sz w:val="20"/>
          <w:szCs w:val="20"/>
        </w:rPr>
        <w:t>after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2 </w:t>
      </w:r>
      <w:proofErr w:type="spellStart"/>
      <w:r w:rsidRPr="00005911">
        <w:rPr>
          <w:rFonts w:ascii="Times New Roman" w:hAnsi="Times New Roman"/>
          <w:sz w:val="20"/>
          <w:szCs w:val="20"/>
        </w:rPr>
        <w:t>months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from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end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RT.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effect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/>
          <w:sz w:val="20"/>
          <w:szCs w:val="20"/>
        </w:rPr>
        <w:t>break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days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was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mostly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seen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first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2 </w:t>
      </w:r>
      <w:proofErr w:type="spellStart"/>
      <w:r w:rsidRPr="00005911">
        <w:rPr>
          <w:rFonts w:ascii="Times New Roman" w:hAnsi="Times New Roman"/>
          <w:sz w:val="20"/>
          <w:szCs w:val="20"/>
        </w:rPr>
        <w:t>months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after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[HR 1.079 (1.043-1.116); P &lt; 0.001]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declining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effect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after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2 </w:t>
      </w:r>
      <w:proofErr w:type="spellStart"/>
      <w:r w:rsidRPr="00005911">
        <w:rPr>
          <w:rFonts w:ascii="Times New Roman" w:hAnsi="Times New Roman"/>
          <w:sz w:val="20"/>
          <w:szCs w:val="20"/>
        </w:rPr>
        <w:t>months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[HR 1.017 (0.990-1.046); P = 0.23]. In RTOG 9003,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effect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/>
          <w:sz w:val="20"/>
          <w:szCs w:val="20"/>
        </w:rPr>
        <w:t>break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days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seemed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strongest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standard </w:t>
      </w:r>
      <w:proofErr w:type="spellStart"/>
      <w:r w:rsidRPr="00005911">
        <w:rPr>
          <w:rFonts w:ascii="Times New Roman" w:hAnsi="Times New Roman"/>
          <w:sz w:val="20"/>
          <w:szCs w:val="20"/>
        </w:rPr>
        <w:t>fractionation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(SFX), [HR 1.089], </w:t>
      </w:r>
      <w:proofErr w:type="spellStart"/>
      <w:r w:rsidRPr="00005911">
        <w:rPr>
          <w:rFonts w:ascii="Times New Roman" w:hAnsi="Times New Roman"/>
          <w:sz w:val="20"/>
          <w:szCs w:val="20"/>
        </w:rPr>
        <w:t>compared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1.007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hyperfractionation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05911">
        <w:rPr>
          <w:rFonts w:ascii="Times New Roman" w:hAnsi="Times New Roman"/>
          <w:sz w:val="20"/>
          <w:szCs w:val="20"/>
        </w:rPr>
        <w:t>interaction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P = 0.05), 0.984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accelerated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fractionation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split (P = 0.01), and 1.042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accel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005911">
        <w:rPr>
          <w:rFonts w:ascii="Times New Roman" w:hAnsi="Times New Roman"/>
          <w:sz w:val="20"/>
          <w:szCs w:val="20"/>
        </w:rPr>
        <w:t>erated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fractionation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concomitant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boost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(AFX-C) (P = 0.33). </w:t>
      </w:r>
      <w:proofErr w:type="spellStart"/>
      <w:r w:rsidRPr="00005911">
        <w:rPr>
          <w:rFonts w:ascii="Times New Roman" w:hAnsi="Times New Roman"/>
          <w:sz w:val="20"/>
          <w:szCs w:val="20"/>
        </w:rPr>
        <w:t>Results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RTOG 0129 </w:t>
      </w:r>
      <w:proofErr w:type="spellStart"/>
      <w:r w:rsidRPr="00005911">
        <w:rPr>
          <w:rFonts w:ascii="Times New Roman" w:hAnsi="Times New Roman"/>
          <w:sz w:val="20"/>
          <w:szCs w:val="20"/>
        </w:rPr>
        <w:t>were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similar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with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SFX HR 1.050 and AFX-C HR 0.991 (P = 0.43) 509 had </w:t>
      </w:r>
      <w:proofErr w:type="spellStart"/>
      <w:r w:rsidRPr="00005911">
        <w:rPr>
          <w:rFonts w:ascii="Times New Roman" w:hAnsi="Times New Roman"/>
          <w:sz w:val="20"/>
          <w:szCs w:val="20"/>
        </w:rPr>
        <w:t>known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p16 status. </w:t>
      </w:r>
      <w:proofErr w:type="spellStart"/>
      <w:r w:rsidRPr="00005911">
        <w:rPr>
          <w:rFonts w:ascii="Times New Roman" w:hAnsi="Times New Roman"/>
          <w:sz w:val="20"/>
          <w:szCs w:val="20"/>
        </w:rPr>
        <w:t>The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effect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of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RT </w:t>
      </w:r>
      <w:proofErr w:type="spellStart"/>
      <w:r w:rsidRPr="00005911">
        <w:rPr>
          <w:rFonts w:ascii="Times New Roman" w:hAnsi="Times New Roman"/>
          <w:sz w:val="20"/>
          <w:szCs w:val="20"/>
        </w:rPr>
        <w:t>breaks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did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Pr="00005911">
        <w:rPr>
          <w:rFonts w:ascii="Times New Roman" w:hAnsi="Times New Roman"/>
          <w:sz w:val="20"/>
          <w:szCs w:val="20"/>
        </w:rPr>
        <w:t>differ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by p16 status (HR 1.025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p16-negat</w:t>
      </w:r>
      <w:r w:rsidR="00005911">
        <w:rPr>
          <w:rFonts w:ascii="Times New Roman" w:hAnsi="Times New Roman"/>
          <w:sz w:val="20"/>
          <w:szCs w:val="20"/>
        </w:rPr>
        <w:t xml:space="preserve">ive, 1.041 </w:t>
      </w:r>
      <w:proofErr w:type="spellStart"/>
      <w:r w:rsidR="00005911">
        <w:rPr>
          <w:rFonts w:ascii="Times New Roman" w:hAnsi="Times New Roman"/>
          <w:sz w:val="20"/>
          <w:szCs w:val="20"/>
        </w:rPr>
        <w:t>for</w:t>
      </w:r>
      <w:proofErr w:type="spellEnd"/>
      <w:r w:rsidR="00005911">
        <w:rPr>
          <w:rFonts w:ascii="Times New Roman" w:hAnsi="Times New Roman"/>
          <w:sz w:val="20"/>
          <w:szCs w:val="20"/>
        </w:rPr>
        <w:t xml:space="preserve"> p16-positive, P =</w:t>
      </w:r>
      <w:bookmarkStart w:id="0" w:name="_GoBack"/>
      <w:bookmarkEnd w:id="0"/>
      <w:r w:rsidRPr="00005911">
        <w:rPr>
          <w:rFonts w:ascii="Times New Roman" w:hAnsi="Times New Roman"/>
          <w:sz w:val="20"/>
          <w:szCs w:val="20"/>
        </w:rPr>
        <w:t xml:space="preserve"> 0.72 </w:t>
      </w:r>
      <w:proofErr w:type="spellStart"/>
      <w:r w:rsidRPr="00005911">
        <w:rPr>
          <w:rFonts w:ascii="Times New Roman" w:hAnsi="Times New Roman"/>
          <w:sz w:val="20"/>
          <w:szCs w:val="20"/>
        </w:rPr>
        <w:t>for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911">
        <w:rPr>
          <w:rFonts w:ascii="Times New Roman" w:hAnsi="Times New Roman"/>
          <w:sz w:val="20"/>
          <w:szCs w:val="20"/>
        </w:rPr>
        <w:t>interaction</w:t>
      </w:r>
      <w:proofErr w:type="spellEnd"/>
      <w:r w:rsidRPr="00005911">
        <w:rPr>
          <w:rFonts w:ascii="Times New Roman" w:hAnsi="Times New Roman"/>
          <w:sz w:val="20"/>
          <w:szCs w:val="20"/>
        </w:rPr>
        <w:t xml:space="preserve">). </w:t>
      </w:r>
    </w:p>
    <w:p w14:paraId="5388EB03" w14:textId="77777777" w:rsidR="002C0582" w:rsidRPr="00005911" w:rsidRDefault="002C0582" w:rsidP="002C0582">
      <w:pPr>
        <w:pStyle w:val="NormalWeb"/>
        <w:spacing w:line="360" w:lineRule="auto"/>
        <w:rPr>
          <w:rFonts w:ascii="Times New Roman" w:hAnsi="Times New Roman"/>
        </w:rPr>
      </w:pPr>
      <w:proofErr w:type="spellStart"/>
      <w:r w:rsidRPr="00005911">
        <w:rPr>
          <w:rFonts w:ascii="Times New Roman" w:hAnsi="Times New Roman"/>
          <w:b/>
        </w:rPr>
        <w:lastRenderedPageBreak/>
        <w:t>Conclusion</w:t>
      </w:r>
      <w:proofErr w:type="spellEnd"/>
      <w:r w:rsidRPr="00005911">
        <w:rPr>
          <w:rFonts w:ascii="Times New Roman" w:hAnsi="Times New Roman"/>
          <w:b/>
        </w:rPr>
        <w:t>:</w:t>
      </w:r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Unplanned</w:t>
      </w:r>
      <w:proofErr w:type="spellEnd"/>
      <w:r w:rsidRPr="00005911">
        <w:rPr>
          <w:rFonts w:ascii="Times New Roman" w:hAnsi="Times New Roman"/>
        </w:rPr>
        <w:t xml:space="preserve"> RT </w:t>
      </w:r>
      <w:proofErr w:type="spellStart"/>
      <w:r w:rsidRPr="00005911">
        <w:rPr>
          <w:rFonts w:ascii="Times New Roman" w:hAnsi="Times New Roman"/>
        </w:rPr>
        <w:t>breaks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lead</w:t>
      </w:r>
      <w:proofErr w:type="spellEnd"/>
      <w:r w:rsidRPr="00005911">
        <w:rPr>
          <w:rFonts w:ascii="Times New Roman" w:hAnsi="Times New Roman"/>
        </w:rPr>
        <w:t xml:space="preserve"> to more LRF, </w:t>
      </w:r>
      <w:proofErr w:type="spellStart"/>
      <w:r w:rsidRPr="00005911">
        <w:rPr>
          <w:rFonts w:ascii="Times New Roman" w:hAnsi="Times New Roman"/>
        </w:rPr>
        <w:t>chiefly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through</w:t>
      </w:r>
      <w:proofErr w:type="spellEnd"/>
      <w:r w:rsidRPr="00005911">
        <w:rPr>
          <w:rFonts w:ascii="Times New Roman" w:hAnsi="Times New Roman"/>
        </w:rPr>
        <w:t xml:space="preserve"> early </w:t>
      </w:r>
      <w:proofErr w:type="spellStart"/>
      <w:r w:rsidRPr="00005911">
        <w:rPr>
          <w:rFonts w:ascii="Times New Roman" w:hAnsi="Times New Roman"/>
        </w:rPr>
        <w:t>recurrences</w:t>
      </w:r>
      <w:proofErr w:type="spellEnd"/>
      <w:r w:rsidRPr="00005911">
        <w:rPr>
          <w:rFonts w:ascii="Times New Roman" w:hAnsi="Times New Roman"/>
        </w:rPr>
        <w:t xml:space="preserve">. </w:t>
      </w:r>
      <w:proofErr w:type="spellStart"/>
      <w:r w:rsidRPr="00005911">
        <w:rPr>
          <w:rFonts w:ascii="Times New Roman" w:hAnsi="Times New Roman"/>
        </w:rPr>
        <w:t>The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effect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of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breaks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seems</w:t>
      </w:r>
      <w:proofErr w:type="spellEnd"/>
      <w:r w:rsidRPr="00005911">
        <w:rPr>
          <w:rFonts w:ascii="Times New Roman" w:hAnsi="Times New Roman"/>
        </w:rPr>
        <w:t xml:space="preserve"> most </w:t>
      </w:r>
      <w:proofErr w:type="spellStart"/>
      <w:r w:rsidRPr="00005911">
        <w:rPr>
          <w:rFonts w:ascii="Times New Roman" w:hAnsi="Times New Roman"/>
        </w:rPr>
        <w:t>pronounced</w:t>
      </w:r>
      <w:proofErr w:type="spellEnd"/>
      <w:r w:rsidRPr="00005911">
        <w:rPr>
          <w:rFonts w:ascii="Times New Roman" w:hAnsi="Times New Roman"/>
        </w:rPr>
        <w:t xml:space="preserve"> </w:t>
      </w:r>
      <w:proofErr w:type="spellStart"/>
      <w:r w:rsidRPr="00005911">
        <w:rPr>
          <w:rFonts w:ascii="Times New Roman" w:hAnsi="Times New Roman"/>
        </w:rPr>
        <w:t>with</w:t>
      </w:r>
      <w:proofErr w:type="spellEnd"/>
      <w:r w:rsidRPr="00005911">
        <w:rPr>
          <w:rFonts w:ascii="Times New Roman" w:hAnsi="Times New Roman"/>
        </w:rPr>
        <w:t xml:space="preserve"> standard </w:t>
      </w:r>
      <w:proofErr w:type="spellStart"/>
      <w:r w:rsidRPr="00005911">
        <w:rPr>
          <w:rFonts w:ascii="Times New Roman" w:hAnsi="Times New Roman"/>
        </w:rPr>
        <w:t>fractionation</w:t>
      </w:r>
      <w:proofErr w:type="spellEnd"/>
      <w:r w:rsidRPr="00005911">
        <w:rPr>
          <w:rFonts w:ascii="Times New Roman" w:hAnsi="Times New Roman"/>
        </w:rPr>
        <w:t>.</w:t>
      </w:r>
    </w:p>
    <w:p w14:paraId="46ACA3E9" w14:textId="77777777" w:rsidR="002C0582" w:rsidRPr="00154343" w:rsidRDefault="002C0582" w:rsidP="00154343">
      <w:pPr>
        <w:rPr>
          <w:rFonts w:ascii="Times New Roman" w:hAnsi="Times New Roman" w:cs="Times New Roman"/>
          <w:sz w:val="20"/>
          <w:szCs w:val="20"/>
        </w:rPr>
      </w:pPr>
    </w:p>
    <w:sectPr w:rsidR="002C0582" w:rsidRPr="00154343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3"/>
    <w:rsid w:val="00005911"/>
    <w:rsid w:val="00154343"/>
    <w:rsid w:val="001F110E"/>
    <w:rsid w:val="002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79F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5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5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548</Words>
  <Characters>3124</Characters>
  <Application>Microsoft Macintosh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2017-10-23T12:07:00Z</dcterms:created>
  <dcterms:modified xsi:type="dcterms:W3CDTF">2017-10-26T11:12:00Z</dcterms:modified>
</cp:coreProperties>
</file>