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FE" w:rsidRPr="00970EFE" w:rsidRDefault="00970EFE" w:rsidP="00970EFE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970EFE">
        <w:rPr>
          <w:rFonts w:ascii="Times New Roman" w:hAnsi="Times New Roman" w:cs="Times New Roman"/>
          <w:b/>
          <w:szCs w:val="20"/>
        </w:rPr>
        <w:t>Survival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Outcomes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Among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Human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Papillomavirus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-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Associated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Oropharyngeal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Squamous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Cell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Cancer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Treated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Upfront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Versus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Definitive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Chemoradiation</w:t>
      </w:r>
      <w:proofErr w:type="spellEnd"/>
      <w:r w:rsidRPr="00970EF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b/>
          <w:szCs w:val="20"/>
        </w:rPr>
        <w:t>Therapy</w:t>
      </w:r>
      <w:proofErr w:type="spellEnd"/>
    </w:p>
    <w:p w:rsidR="00970EFE" w:rsidRPr="00970EFE" w:rsidRDefault="00970EFE" w:rsidP="00970E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70EFE" w:rsidRDefault="00970EFE" w:rsidP="00970E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70EFE">
        <w:rPr>
          <w:rFonts w:ascii="Times New Roman" w:hAnsi="Times New Roman" w:cs="Times New Roman"/>
          <w:sz w:val="20"/>
          <w:szCs w:val="20"/>
        </w:rPr>
        <w:t>J.R. Kelly,</w:t>
      </w:r>
      <w:r w:rsidRPr="00970EFE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70EFE">
        <w:rPr>
          <w:rFonts w:ascii="Times New Roman" w:hAnsi="Times New Roman" w:cs="Times New Roman"/>
          <w:sz w:val="20"/>
          <w:szCs w:val="20"/>
        </w:rPr>
        <w:t>Y. An,</w:t>
      </w:r>
      <w:r w:rsidRPr="00970EF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70EFE">
        <w:rPr>
          <w:rFonts w:ascii="Times New Roman" w:hAnsi="Times New Roman" w:cs="Times New Roman"/>
          <w:sz w:val="20"/>
          <w:szCs w:val="20"/>
        </w:rPr>
        <w:t xml:space="preserve"> H.S.M. Park,</w:t>
      </w:r>
      <w:r w:rsidRPr="00970EF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70EFE">
        <w:rPr>
          <w:rFonts w:ascii="Times New Roman" w:hAnsi="Times New Roman" w:cs="Times New Roman"/>
          <w:sz w:val="20"/>
          <w:szCs w:val="20"/>
        </w:rPr>
        <w:t xml:space="preserve"> W. Yarbrough,</w:t>
      </w:r>
      <w:r w:rsidRPr="00970EF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70EFE">
        <w:rPr>
          <w:rFonts w:ascii="Times New Roman" w:hAnsi="Times New Roman" w:cs="Times New Roman"/>
          <w:sz w:val="20"/>
          <w:szCs w:val="20"/>
        </w:rPr>
        <w:t xml:space="preserve"> B.A. Burtness,</w:t>
      </w:r>
      <w:r w:rsidRPr="00970EF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970EF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70EFE">
        <w:rPr>
          <w:rFonts w:ascii="Times New Roman" w:hAnsi="Times New Roman" w:cs="Times New Roman"/>
          <w:sz w:val="20"/>
          <w:szCs w:val="20"/>
        </w:rPr>
        <w:t>and Z.A. Husain</w:t>
      </w:r>
      <w:r w:rsidRPr="00970EF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70EF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70EFE" w:rsidRDefault="00970EFE" w:rsidP="00970E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70EFE" w:rsidRPr="00970EFE" w:rsidRDefault="00970EFE" w:rsidP="00970EFE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970EFE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970EFE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Therapeutic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Radiology,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Yale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, New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Haven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, CT, </w:t>
      </w:r>
      <w:r w:rsidRPr="00970EFE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970EFE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Therapeutic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Radiology,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Yale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, New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Haven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, CT, </w:t>
      </w:r>
      <w:r w:rsidRPr="00970EFE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970EFE">
        <w:rPr>
          <w:rFonts w:ascii="Times New Roman" w:hAnsi="Times New Roman" w:cs="Times New Roman"/>
          <w:i/>
          <w:sz w:val="20"/>
          <w:szCs w:val="20"/>
        </w:rPr>
        <w:t xml:space="preserve">Yale University, New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Haven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, CT, </w:t>
      </w:r>
      <w:r w:rsidRPr="00970EFE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970EFE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Yale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 xml:space="preserve">, New </w:t>
      </w:r>
      <w:proofErr w:type="spellStart"/>
      <w:r w:rsidRPr="00970EFE">
        <w:rPr>
          <w:rFonts w:ascii="Times New Roman" w:hAnsi="Times New Roman" w:cs="Times New Roman"/>
          <w:i/>
          <w:sz w:val="20"/>
          <w:szCs w:val="20"/>
        </w:rPr>
        <w:t>Haven</w:t>
      </w:r>
      <w:proofErr w:type="spellEnd"/>
      <w:r w:rsidRPr="00970EFE">
        <w:rPr>
          <w:rFonts w:ascii="Times New Roman" w:hAnsi="Times New Roman" w:cs="Times New Roman"/>
          <w:i/>
          <w:sz w:val="20"/>
          <w:szCs w:val="20"/>
        </w:rPr>
        <w:t>, CT</w:t>
      </w:r>
    </w:p>
    <w:p w:rsidR="00970EFE" w:rsidRPr="00970EFE" w:rsidRDefault="00970EFE" w:rsidP="00970E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70EFE" w:rsidRPr="00970EFE" w:rsidRDefault="00970EFE" w:rsidP="00970E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70EFE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970EFE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970EFE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970EFE">
        <w:rPr>
          <w:rFonts w:ascii="Times New Roman" w:hAnsi="Times New Roman" w:cs="Times New Roman"/>
          <w:b/>
          <w:sz w:val="20"/>
          <w:szCs w:val="20"/>
        </w:rPr>
        <w:t>(s):</w:t>
      </w:r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Transoral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robotic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(TORS)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decreased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morbidity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to open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early-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oropharynx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prospective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comparing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oncologic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vs.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definitive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concurre</w:t>
      </w:r>
      <w:r>
        <w:rPr>
          <w:rFonts w:ascii="Times New Roman" w:hAnsi="Times New Roman" w:cs="Times New Roman"/>
          <w:sz w:val="20"/>
          <w:szCs w:val="20"/>
        </w:rPr>
        <w:t>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chemo</w:t>
      </w:r>
      <w:r w:rsidRPr="00970EFE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(CRT) in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management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human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papillomavirus-associated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oropharyngeal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squamous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cell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carcinoma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(HPV-A OPC).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therefore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strategies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presumed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TORS-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large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sample.</w:t>
      </w:r>
    </w:p>
    <w:p w:rsidR="00970EFE" w:rsidRPr="00970EFE" w:rsidRDefault="00970EFE" w:rsidP="00970E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70EFE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970EFE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970EFE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970EFE">
        <w:rPr>
          <w:rFonts w:ascii="Times New Roman" w:hAnsi="Times New Roman" w:cs="Times New Roman"/>
          <w:b/>
          <w:sz w:val="20"/>
          <w:szCs w:val="20"/>
        </w:rPr>
        <w:t>:</w:t>
      </w:r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Database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identify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cT2 N1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cT1-2 N2a-2b HPV-A OPC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2010- 2013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underwent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either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+/-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Demographic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clinicopatholog</w:t>
      </w:r>
      <w:r>
        <w:rPr>
          <w:rFonts w:ascii="Times New Roman" w:hAnsi="Times New Roman" w:cs="Times New Roman"/>
          <w:sz w:val="20"/>
          <w:szCs w:val="20"/>
        </w:rPr>
        <w:t>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predictors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treat</w:t>
      </w:r>
      <w:r w:rsidRPr="00970EFE">
        <w:rPr>
          <w:rFonts w:ascii="Times New Roman" w:hAnsi="Times New Roman" w:cs="Times New Roman"/>
          <w:sz w:val="20"/>
          <w:szCs w:val="20"/>
        </w:rPr>
        <w:t>ment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analyzed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chi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-square test and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logistic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(OS)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Kaplan-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log-rank test,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hazard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matched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>.</w:t>
      </w:r>
    </w:p>
    <w:p w:rsidR="00970EFE" w:rsidRPr="00970EFE" w:rsidRDefault="00970EFE" w:rsidP="00970E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70EFE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970EFE">
        <w:rPr>
          <w:rFonts w:ascii="Times New Roman" w:hAnsi="Times New Roman" w:cs="Times New Roman"/>
          <w:b/>
          <w:sz w:val="20"/>
          <w:szCs w:val="20"/>
        </w:rPr>
        <w:t>:</w:t>
      </w:r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3,168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whom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1,576 (49.8%)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CRT and 1,592 (50.2%)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underwent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32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Nine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hundred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seventy-two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(61.0%)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CRT. On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multiva</w:t>
      </w:r>
      <w:r>
        <w:rPr>
          <w:rFonts w:ascii="Times New Roman" w:hAnsi="Times New Roman" w:cs="Times New Roman"/>
          <w:sz w:val="20"/>
          <w:szCs w:val="20"/>
        </w:rPr>
        <w:t>riable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logistic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fe</w:t>
      </w:r>
      <w:r w:rsidRPr="00970EFE">
        <w:rPr>
          <w:rFonts w:ascii="Times New Roman" w:hAnsi="Times New Roman" w:cs="Times New Roman"/>
          <w:sz w:val="20"/>
          <w:szCs w:val="20"/>
        </w:rPr>
        <w:t>male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sex,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younger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facility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comorbidity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index, and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T and 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stages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odds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Three-year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OS in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90.8% vs. 92.5% in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receivi</w:t>
      </w:r>
      <w:r>
        <w:rPr>
          <w:rFonts w:ascii="Times New Roman" w:hAnsi="Times New Roman" w:cs="Times New Roman"/>
          <w:sz w:val="20"/>
          <w:szCs w:val="20"/>
        </w:rPr>
        <w:t>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(log-rank P =</w:t>
      </w:r>
      <w:r w:rsidRPr="00970EFE">
        <w:rPr>
          <w:rFonts w:ascii="Times New Roman" w:hAnsi="Times New Roman" w:cs="Times New Roman"/>
          <w:sz w:val="20"/>
          <w:szCs w:val="20"/>
        </w:rPr>
        <w:t xml:space="preserve"> .92). On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upfront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CRT (hazard ratio [HR] 1.10, 95%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confidence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inter</w:t>
      </w:r>
      <w:r>
        <w:rPr>
          <w:rFonts w:ascii="Times New Roman" w:hAnsi="Times New Roman" w:cs="Times New Roman"/>
          <w:sz w:val="20"/>
          <w:szCs w:val="20"/>
        </w:rPr>
        <w:t>val [CI] 0.84-1.43, P =</w:t>
      </w:r>
      <w:r w:rsidRPr="00970EFE">
        <w:rPr>
          <w:rFonts w:ascii="Times New Roman" w:hAnsi="Times New Roman" w:cs="Times New Roman"/>
          <w:sz w:val="20"/>
          <w:szCs w:val="20"/>
        </w:rPr>
        <w:t xml:space="preserve"> .48).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Increasing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T and 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older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>, and non-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private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inferior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OS.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OS benefit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upfront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persisted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subset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margin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-negative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resection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a 3-year OS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90.1% in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undergoing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CRT vs. 93.5% in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primar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(log-rank P =</w:t>
      </w:r>
      <w:r w:rsidRPr="00970EFE">
        <w:rPr>
          <w:rFonts w:ascii="Times New Roman" w:hAnsi="Times New Roman" w:cs="Times New Roman"/>
          <w:sz w:val="20"/>
          <w:szCs w:val="20"/>
        </w:rPr>
        <w:t xml:space="preserve"> .14).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score-matching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2,618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redemonstrated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OS (</w:t>
      </w:r>
      <w:r>
        <w:rPr>
          <w:rFonts w:ascii="Times New Roman" w:hAnsi="Times New Roman" w:cs="Times New Roman"/>
          <w:sz w:val="20"/>
          <w:szCs w:val="20"/>
        </w:rPr>
        <w:t>HR, 1.11; 95% CI 0.83- 1.49; P =</w:t>
      </w:r>
      <w:r w:rsidRPr="00970EFE">
        <w:rPr>
          <w:rFonts w:ascii="Times New Roman" w:hAnsi="Times New Roman" w:cs="Times New Roman"/>
          <w:sz w:val="20"/>
          <w:szCs w:val="20"/>
        </w:rPr>
        <w:t xml:space="preserve"> 0.49).</w:t>
      </w:r>
    </w:p>
    <w:p w:rsidR="00970EFE" w:rsidRPr="00970EFE" w:rsidRDefault="00970EFE" w:rsidP="00970EF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970EFE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970EFE">
        <w:rPr>
          <w:rFonts w:ascii="Times New Roman" w:hAnsi="Times New Roman" w:cs="Times New Roman"/>
          <w:b/>
          <w:sz w:val="20"/>
          <w:szCs w:val="20"/>
        </w:rPr>
        <w:t>:</w:t>
      </w:r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proofErr w:type="spellStart"/>
      <w:r w:rsidRPr="00970EFE">
        <w:rPr>
          <w:rFonts w:ascii="Times New Roman" w:hAnsi="Times New Roman" w:cs="Times New Roman"/>
          <w:sz w:val="20"/>
          <w:szCs w:val="20"/>
        </w:rPr>
        <w:t>Upfront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to CRT in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majority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trimodal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CRT.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Efforts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improve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selection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minimize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trimodal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justified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EFE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970EFE">
        <w:rPr>
          <w:rFonts w:ascii="Times New Roman" w:hAnsi="Times New Roman" w:cs="Times New Roman"/>
          <w:sz w:val="20"/>
          <w:szCs w:val="20"/>
        </w:rPr>
        <w:t>.</w:t>
      </w:r>
    </w:p>
    <w:sectPr w:rsidR="00970EFE" w:rsidRPr="00970EFE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FE"/>
    <w:rsid w:val="001F110E"/>
    <w:rsid w:val="0097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2017-10-26T06:15:00Z</dcterms:created>
  <dcterms:modified xsi:type="dcterms:W3CDTF">2017-10-26T06:20:00Z</dcterms:modified>
</cp:coreProperties>
</file>