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6C568" w14:textId="77777777" w:rsidR="00D7727D" w:rsidRPr="00D7727D" w:rsidRDefault="00D7727D" w:rsidP="00D7727D">
      <w:pPr>
        <w:spacing w:line="360" w:lineRule="auto"/>
        <w:rPr>
          <w:rFonts w:ascii="Times New Roman" w:hAnsi="Times New Roman" w:cs="Times New Roman"/>
          <w:b/>
        </w:rPr>
      </w:pPr>
      <w:r w:rsidRPr="00D7727D">
        <w:rPr>
          <w:rFonts w:ascii="Times New Roman" w:hAnsi="Times New Roman" w:cs="Times New Roman"/>
          <w:b/>
        </w:rPr>
        <w:t xml:space="preserve">Long-Term </w:t>
      </w:r>
      <w:proofErr w:type="spellStart"/>
      <w:r w:rsidRPr="00D7727D">
        <w:rPr>
          <w:rFonts w:ascii="Times New Roman" w:hAnsi="Times New Roman" w:cs="Times New Roman"/>
          <w:b/>
        </w:rPr>
        <w:t>Results</w:t>
      </w:r>
      <w:proofErr w:type="spellEnd"/>
      <w:r w:rsidRPr="00D7727D">
        <w:rPr>
          <w:rFonts w:ascii="Times New Roman" w:hAnsi="Times New Roman" w:cs="Times New Roman"/>
          <w:b/>
        </w:rPr>
        <w:t xml:space="preserve"> </w:t>
      </w:r>
      <w:proofErr w:type="spellStart"/>
      <w:r w:rsidRPr="00D7727D">
        <w:rPr>
          <w:rFonts w:ascii="Times New Roman" w:hAnsi="Times New Roman" w:cs="Times New Roman"/>
          <w:b/>
        </w:rPr>
        <w:t>of</w:t>
      </w:r>
      <w:proofErr w:type="spellEnd"/>
      <w:r w:rsidRPr="00D7727D">
        <w:rPr>
          <w:rFonts w:ascii="Times New Roman" w:hAnsi="Times New Roman" w:cs="Times New Roman"/>
          <w:b/>
        </w:rPr>
        <w:t xml:space="preserve"> RTOG 0617: A </w:t>
      </w:r>
      <w:proofErr w:type="spellStart"/>
      <w:r w:rsidRPr="00D7727D">
        <w:rPr>
          <w:rFonts w:ascii="Times New Roman" w:hAnsi="Times New Roman" w:cs="Times New Roman"/>
          <w:b/>
        </w:rPr>
        <w:t>Randomized</w:t>
      </w:r>
      <w:proofErr w:type="spellEnd"/>
      <w:r w:rsidRPr="00D7727D">
        <w:rPr>
          <w:rFonts w:ascii="Times New Roman" w:hAnsi="Times New Roman" w:cs="Times New Roman"/>
          <w:b/>
        </w:rPr>
        <w:t xml:space="preserve"> </w:t>
      </w:r>
      <w:proofErr w:type="spellStart"/>
      <w:r w:rsidRPr="00D7727D">
        <w:rPr>
          <w:rFonts w:ascii="Times New Roman" w:hAnsi="Times New Roman" w:cs="Times New Roman"/>
          <w:b/>
        </w:rPr>
        <w:t>Phase</w:t>
      </w:r>
      <w:proofErr w:type="spellEnd"/>
      <w:r w:rsidRPr="00D7727D">
        <w:rPr>
          <w:rFonts w:ascii="Times New Roman" w:hAnsi="Times New Roman" w:cs="Times New Roman"/>
          <w:b/>
        </w:rPr>
        <w:t xml:space="preserve"> 3 </w:t>
      </w:r>
      <w:proofErr w:type="spellStart"/>
      <w:r w:rsidRPr="00D7727D">
        <w:rPr>
          <w:rFonts w:ascii="Times New Roman" w:hAnsi="Times New Roman" w:cs="Times New Roman"/>
          <w:b/>
        </w:rPr>
        <w:t>Comparison</w:t>
      </w:r>
      <w:proofErr w:type="spellEnd"/>
      <w:r w:rsidRPr="00D7727D">
        <w:rPr>
          <w:rFonts w:ascii="Times New Roman" w:hAnsi="Times New Roman" w:cs="Times New Roman"/>
          <w:b/>
        </w:rPr>
        <w:t xml:space="preserve"> </w:t>
      </w:r>
      <w:proofErr w:type="spellStart"/>
      <w:r w:rsidRPr="00D7727D">
        <w:rPr>
          <w:rFonts w:ascii="Times New Roman" w:hAnsi="Times New Roman" w:cs="Times New Roman"/>
          <w:b/>
        </w:rPr>
        <w:t>of</w:t>
      </w:r>
      <w:proofErr w:type="spellEnd"/>
      <w:r w:rsidRPr="00D7727D">
        <w:rPr>
          <w:rFonts w:ascii="Times New Roman" w:hAnsi="Times New Roman" w:cs="Times New Roman"/>
          <w:b/>
        </w:rPr>
        <w:t xml:space="preserve"> Standard Dose Versus </w:t>
      </w:r>
      <w:proofErr w:type="spellStart"/>
      <w:r w:rsidRPr="00D7727D">
        <w:rPr>
          <w:rFonts w:ascii="Times New Roman" w:hAnsi="Times New Roman" w:cs="Times New Roman"/>
          <w:b/>
        </w:rPr>
        <w:t>High</w:t>
      </w:r>
      <w:proofErr w:type="spellEnd"/>
      <w:r w:rsidRPr="00D7727D">
        <w:rPr>
          <w:rFonts w:ascii="Times New Roman" w:hAnsi="Times New Roman" w:cs="Times New Roman"/>
          <w:b/>
        </w:rPr>
        <w:t xml:space="preserve"> Dose </w:t>
      </w:r>
      <w:proofErr w:type="spellStart"/>
      <w:r w:rsidRPr="00D7727D">
        <w:rPr>
          <w:rFonts w:ascii="Times New Roman" w:hAnsi="Times New Roman" w:cs="Times New Roman"/>
          <w:b/>
        </w:rPr>
        <w:t>Conformal</w:t>
      </w:r>
      <w:proofErr w:type="spellEnd"/>
      <w:r w:rsidRPr="00D7727D">
        <w:rPr>
          <w:rFonts w:ascii="Times New Roman" w:hAnsi="Times New Roman" w:cs="Times New Roman"/>
          <w:b/>
        </w:rPr>
        <w:t xml:space="preserve"> </w:t>
      </w:r>
      <w:proofErr w:type="spellStart"/>
      <w:r w:rsidRPr="00D7727D">
        <w:rPr>
          <w:rFonts w:ascii="Times New Roman" w:hAnsi="Times New Roman" w:cs="Times New Roman"/>
          <w:b/>
        </w:rPr>
        <w:t>Chemoradiation</w:t>
      </w:r>
      <w:proofErr w:type="spellEnd"/>
      <w:r w:rsidRPr="00D7727D">
        <w:rPr>
          <w:rFonts w:ascii="Times New Roman" w:hAnsi="Times New Roman" w:cs="Times New Roman"/>
          <w:b/>
        </w:rPr>
        <w:t xml:space="preserve"> </w:t>
      </w:r>
      <w:proofErr w:type="spellStart"/>
      <w:r w:rsidRPr="00D7727D">
        <w:rPr>
          <w:rFonts w:ascii="Times New Roman" w:hAnsi="Times New Roman" w:cs="Times New Roman"/>
          <w:b/>
        </w:rPr>
        <w:t>Therapy</w:t>
      </w:r>
      <w:proofErr w:type="spellEnd"/>
      <w:r w:rsidRPr="00D7727D">
        <w:rPr>
          <w:rFonts w:ascii="Times New Roman" w:hAnsi="Times New Roman" w:cs="Times New Roman"/>
          <w:b/>
        </w:rPr>
        <w:t xml:space="preserve"> +/- </w:t>
      </w:r>
      <w:proofErr w:type="spellStart"/>
      <w:r w:rsidRPr="00D7727D">
        <w:rPr>
          <w:rFonts w:ascii="Times New Roman" w:hAnsi="Times New Roman" w:cs="Times New Roman"/>
          <w:b/>
        </w:rPr>
        <w:t>Cetuximab</w:t>
      </w:r>
      <w:proofErr w:type="spellEnd"/>
      <w:r w:rsidRPr="00D7727D">
        <w:rPr>
          <w:rFonts w:ascii="Times New Roman" w:hAnsi="Times New Roman" w:cs="Times New Roman"/>
          <w:b/>
        </w:rPr>
        <w:t xml:space="preserve"> </w:t>
      </w:r>
      <w:proofErr w:type="spellStart"/>
      <w:r w:rsidRPr="00D7727D">
        <w:rPr>
          <w:rFonts w:ascii="Times New Roman" w:hAnsi="Times New Roman" w:cs="Times New Roman"/>
          <w:b/>
        </w:rPr>
        <w:t>for</w:t>
      </w:r>
      <w:proofErr w:type="spellEnd"/>
      <w:r w:rsidRPr="00D7727D">
        <w:rPr>
          <w:rFonts w:ascii="Times New Roman" w:hAnsi="Times New Roman" w:cs="Times New Roman"/>
          <w:b/>
        </w:rPr>
        <w:t xml:space="preserve"> </w:t>
      </w:r>
      <w:proofErr w:type="spellStart"/>
      <w:r w:rsidRPr="00D7727D">
        <w:rPr>
          <w:rFonts w:ascii="Times New Roman" w:hAnsi="Times New Roman" w:cs="Times New Roman"/>
          <w:b/>
        </w:rPr>
        <w:t>Stage</w:t>
      </w:r>
      <w:proofErr w:type="spellEnd"/>
      <w:r w:rsidRPr="00D7727D">
        <w:rPr>
          <w:rFonts w:ascii="Times New Roman" w:hAnsi="Times New Roman" w:cs="Times New Roman"/>
          <w:b/>
        </w:rPr>
        <w:t xml:space="preserve"> III NSCLC</w:t>
      </w:r>
    </w:p>
    <w:p w14:paraId="11A022CA" w14:textId="77777777" w:rsidR="00D7727D" w:rsidRPr="00D7727D" w:rsidRDefault="00D7727D" w:rsidP="00D7727D">
      <w:pPr>
        <w:rPr>
          <w:rFonts w:ascii="Times New Roman" w:hAnsi="Times New Roman" w:cs="Times New Roman"/>
          <w:sz w:val="20"/>
          <w:szCs w:val="20"/>
        </w:rPr>
      </w:pPr>
    </w:p>
    <w:p w14:paraId="47636A89" w14:textId="77777777" w:rsidR="00D7727D" w:rsidRPr="00D7727D" w:rsidRDefault="00D7727D" w:rsidP="00D77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7727D">
        <w:rPr>
          <w:rFonts w:ascii="Times New Roman" w:hAnsi="Times New Roman" w:cs="Times New Roman"/>
          <w:sz w:val="20"/>
          <w:szCs w:val="20"/>
        </w:rPr>
        <w:t>J.D. Bradley,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7727D">
        <w:rPr>
          <w:rFonts w:ascii="Times New Roman" w:hAnsi="Times New Roman" w:cs="Times New Roman"/>
          <w:sz w:val="20"/>
          <w:szCs w:val="20"/>
        </w:rPr>
        <w:t xml:space="preserve"> C. Hu,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7727D">
        <w:rPr>
          <w:rFonts w:ascii="Times New Roman" w:hAnsi="Times New Roman" w:cs="Times New Roman"/>
          <w:sz w:val="20"/>
          <w:szCs w:val="20"/>
        </w:rPr>
        <w:t xml:space="preserve"> R.U. Komaki,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7727D">
        <w:rPr>
          <w:rFonts w:ascii="Times New Roman" w:hAnsi="Times New Roman" w:cs="Times New Roman"/>
          <w:sz w:val="20"/>
          <w:szCs w:val="20"/>
        </w:rPr>
        <w:t xml:space="preserve"> G. Masters,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D7727D">
        <w:rPr>
          <w:rFonts w:ascii="Times New Roman" w:hAnsi="Times New Roman" w:cs="Times New Roman"/>
          <w:sz w:val="20"/>
          <w:szCs w:val="20"/>
        </w:rPr>
        <w:t xml:space="preserve"> G.R. Blumenschein,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D7727D">
        <w:rPr>
          <w:rFonts w:ascii="Times New Roman" w:hAnsi="Times New Roman" w:cs="Times New Roman"/>
          <w:sz w:val="20"/>
          <w:szCs w:val="20"/>
        </w:rPr>
        <w:t xml:space="preserve"> S.E. Schild,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D7727D">
        <w:rPr>
          <w:rFonts w:ascii="Times New Roman" w:hAnsi="Times New Roman" w:cs="Times New Roman"/>
          <w:sz w:val="20"/>
          <w:szCs w:val="20"/>
        </w:rPr>
        <w:t xml:space="preserve"> J.A. Bogart,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D7727D">
        <w:rPr>
          <w:rFonts w:ascii="Times New Roman" w:hAnsi="Times New Roman" w:cs="Times New Roman"/>
          <w:sz w:val="20"/>
          <w:szCs w:val="20"/>
        </w:rPr>
        <w:t xml:space="preserve"> K.M. Forster,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D7727D">
        <w:rPr>
          <w:rFonts w:ascii="Times New Roman" w:hAnsi="Times New Roman" w:cs="Times New Roman"/>
          <w:sz w:val="20"/>
          <w:szCs w:val="20"/>
        </w:rPr>
        <w:t xml:space="preserve"> A. Magliocco,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D7727D">
        <w:rPr>
          <w:rFonts w:ascii="Times New Roman" w:hAnsi="Times New Roman" w:cs="Times New Roman"/>
          <w:sz w:val="20"/>
          <w:szCs w:val="20"/>
        </w:rPr>
        <w:t xml:space="preserve"> V.S. Kavadi,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D7727D">
        <w:rPr>
          <w:rFonts w:ascii="Times New Roman" w:hAnsi="Times New Roman" w:cs="Times New Roman"/>
          <w:sz w:val="20"/>
          <w:szCs w:val="20"/>
        </w:rPr>
        <w:t xml:space="preserve"> S. Narayan,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D7727D">
        <w:rPr>
          <w:rFonts w:ascii="Times New Roman" w:hAnsi="Times New Roman" w:cs="Times New Roman"/>
          <w:sz w:val="20"/>
          <w:szCs w:val="20"/>
        </w:rPr>
        <w:t xml:space="preserve"> P. Iyengar,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D7727D">
        <w:rPr>
          <w:rFonts w:ascii="Times New Roman" w:hAnsi="Times New Roman" w:cs="Times New Roman"/>
          <w:sz w:val="20"/>
          <w:szCs w:val="20"/>
        </w:rPr>
        <w:t xml:space="preserve"> C.G. Robinson,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7727D">
        <w:rPr>
          <w:rFonts w:ascii="Times New Roman" w:hAnsi="Times New Roman" w:cs="Times New Roman"/>
          <w:sz w:val="20"/>
          <w:szCs w:val="20"/>
        </w:rPr>
        <w:t xml:space="preserve"> R.B. Wynn,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13</w:t>
      </w:r>
    </w:p>
    <w:p w14:paraId="4BFAEABA" w14:textId="77777777" w:rsidR="00D7727D" w:rsidRDefault="00D7727D" w:rsidP="00D77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7727D">
        <w:rPr>
          <w:rFonts w:ascii="Times New Roman" w:hAnsi="Times New Roman" w:cs="Times New Roman"/>
          <w:sz w:val="20"/>
          <w:szCs w:val="20"/>
        </w:rPr>
        <w:t>C.D. Koprowski,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D7727D">
        <w:rPr>
          <w:rFonts w:ascii="Times New Roman" w:hAnsi="Times New Roman" w:cs="Times New Roman"/>
          <w:sz w:val="20"/>
          <w:szCs w:val="20"/>
        </w:rPr>
        <w:t xml:space="preserve"> M.R. Olson,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D7727D">
        <w:rPr>
          <w:rFonts w:ascii="Times New Roman" w:hAnsi="Times New Roman" w:cs="Times New Roman"/>
          <w:sz w:val="20"/>
          <w:szCs w:val="20"/>
        </w:rPr>
        <w:t xml:space="preserve"> J. Meng,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D7727D">
        <w:rPr>
          <w:rFonts w:ascii="Times New Roman" w:hAnsi="Times New Roman" w:cs="Times New Roman"/>
          <w:sz w:val="20"/>
          <w:szCs w:val="20"/>
        </w:rPr>
        <w:t xml:space="preserve"> W.J.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Curran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Jr,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7727D">
        <w:rPr>
          <w:rFonts w:ascii="Times New Roman" w:hAnsi="Times New Roman" w:cs="Times New Roman"/>
          <w:sz w:val="20"/>
          <w:szCs w:val="20"/>
        </w:rPr>
        <w:t>and H. Choy</w:t>
      </w:r>
      <w:r w:rsidRPr="00D7727D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D7727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40BBD0E" w14:textId="77777777" w:rsidR="00D7727D" w:rsidRDefault="00D7727D" w:rsidP="00D7727D">
      <w:pPr>
        <w:rPr>
          <w:rFonts w:ascii="Times New Roman" w:hAnsi="Times New Roman" w:cs="Times New Roman"/>
          <w:sz w:val="20"/>
          <w:szCs w:val="20"/>
        </w:rPr>
      </w:pPr>
    </w:p>
    <w:p w14:paraId="0160B9FA" w14:textId="77777777" w:rsidR="00D7727D" w:rsidRPr="00D7727D" w:rsidRDefault="00D7727D" w:rsidP="00D7727D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Washington University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Department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St. Louis, MO,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Johns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Hopkins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Division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Biostatistics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Bioinformatics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Baltimore, MD,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Texas MD Anderson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Center, Houston, TX,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Medical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Hematology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Consultants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Philadelphia, PA,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Thoracic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Texas MD Anderson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Center, Houston, TX,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Mayo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Clinic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Arizona, Phoenix, AZ,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SUNY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Upstate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University,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Syracuse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NY,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South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Alabama, Mobile, AL, United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States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Moffitt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Center, Tampa, FL,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Texas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Fort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Worth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TX, United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States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Michigan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Consortium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CCOP,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Ypsilanti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MI,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Texas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Southwestern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Center, Dallas, TX,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Pittsburgh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Center, Pittsburgh, PA,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14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Christiana Care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System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Newark, DE,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15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Baptist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Center, Jacksonville, FL,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16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Ottawa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Center, Ottawa, ON,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D7727D">
        <w:rPr>
          <w:rFonts w:ascii="Times New Roman" w:hAnsi="Times New Roman" w:cs="Times New Roman"/>
          <w:i/>
          <w:sz w:val="20"/>
          <w:szCs w:val="20"/>
          <w:vertAlign w:val="superscript"/>
        </w:rPr>
        <w:t>17</w:t>
      </w:r>
      <w:r w:rsidRPr="00D7727D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Winship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Institute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i/>
          <w:sz w:val="20"/>
          <w:szCs w:val="20"/>
        </w:rPr>
        <w:t>Emory</w:t>
      </w:r>
      <w:proofErr w:type="spellEnd"/>
      <w:r w:rsidRPr="00D7727D">
        <w:rPr>
          <w:rFonts w:ascii="Times New Roman" w:hAnsi="Times New Roman" w:cs="Times New Roman"/>
          <w:i/>
          <w:sz w:val="20"/>
          <w:szCs w:val="20"/>
        </w:rPr>
        <w:t xml:space="preserve"> University, Atlanta, GA</w:t>
      </w:r>
    </w:p>
    <w:p w14:paraId="76CB50E8" w14:textId="77777777" w:rsidR="00D7727D" w:rsidRPr="00D7727D" w:rsidRDefault="00D7727D" w:rsidP="00D7727D">
      <w:pPr>
        <w:rPr>
          <w:rFonts w:ascii="Times New Roman" w:hAnsi="Times New Roman" w:cs="Times New Roman"/>
          <w:sz w:val="20"/>
          <w:szCs w:val="20"/>
        </w:rPr>
      </w:pPr>
    </w:p>
    <w:p w14:paraId="70EBD11C" w14:textId="77777777" w:rsidR="00D7727D" w:rsidRPr="00D7727D" w:rsidRDefault="00D7727D" w:rsidP="00D77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727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D7727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D7727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D7727D">
        <w:rPr>
          <w:rFonts w:ascii="Times New Roman" w:hAnsi="Times New Roman" w:cs="Times New Roman"/>
          <w:b/>
          <w:sz w:val="20"/>
          <w:szCs w:val="20"/>
        </w:rPr>
        <w:t>(s):</w:t>
      </w:r>
      <w:r w:rsidRPr="00D7727D">
        <w:rPr>
          <w:rFonts w:ascii="Times New Roman" w:hAnsi="Times New Roman" w:cs="Times New Roman"/>
          <w:sz w:val="20"/>
          <w:szCs w:val="20"/>
        </w:rPr>
        <w:t xml:space="preserve"> RTOG 0617 had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objectives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; to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standard-dose (SD) (60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) versus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-dose (HD) (74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chemoradiation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to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efficacy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EGFR anti- body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cetuximab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III NSCLC.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Mature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5-year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-up data are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>.</w:t>
      </w:r>
    </w:p>
    <w:p w14:paraId="21C21C14" w14:textId="77777777" w:rsidR="00D7727D" w:rsidRPr="00D7727D" w:rsidRDefault="00D7727D" w:rsidP="00D77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727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D7727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D7727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D7727D">
        <w:rPr>
          <w:rFonts w:ascii="Times New Roman" w:hAnsi="Times New Roman" w:cs="Times New Roman"/>
          <w:b/>
          <w:sz w:val="20"/>
          <w:szCs w:val="20"/>
        </w:rPr>
        <w:t>:</w:t>
      </w:r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III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trial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 2 x 2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factorial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design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dose as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factor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cetuximab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factor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ove</w:t>
      </w:r>
      <w:r w:rsidR="008443AB">
        <w:rPr>
          <w:rFonts w:ascii="Times New Roman" w:hAnsi="Times New Roman" w:cs="Times New Roman"/>
          <w:sz w:val="20"/>
          <w:szCs w:val="20"/>
        </w:rPr>
        <w:t>rall</w:t>
      </w:r>
      <w:proofErr w:type="spellEnd"/>
      <w:r w:rsidR="008443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43AB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8443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43AB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8443AB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8443AB">
        <w:rPr>
          <w:rFonts w:ascii="Times New Roman" w:hAnsi="Times New Roman" w:cs="Times New Roman"/>
          <w:sz w:val="20"/>
          <w:szCs w:val="20"/>
        </w:rPr>
        <w:t>pro</w:t>
      </w:r>
      <w:bookmarkStart w:id="0" w:name="_GoBack"/>
      <w:bookmarkEnd w:id="0"/>
      <w:r w:rsidRPr="00D7727D">
        <w:rPr>
          <w:rFonts w:ascii="Times New Roman" w:hAnsi="Times New Roman" w:cs="Times New Roman"/>
          <w:sz w:val="20"/>
          <w:szCs w:val="20"/>
        </w:rPr>
        <w:t>gression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Kaplan-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compare</w:t>
      </w:r>
      <w:r>
        <w:rPr>
          <w:rFonts w:ascii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log-rank test.</w:t>
      </w:r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hazards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ot</w:t>
      </w:r>
      <w:r>
        <w:rPr>
          <w:rFonts w:ascii="Times New Roman" w:hAnsi="Times New Roman" w:cs="Times New Roman"/>
          <w:sz w:val="20"/>
          <w:szCs w:val="20"/>
        </w:rPr>
        <w:t>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pro</w:t>
      </w:r>
      <w:r w:rsidRPr="00D7727D">
        <w:rPr>
          <w:rFonts w:ascii="Times New Roman" w:hAnsi="Times New Roman" w:cs="Times New Roman"/>
          <w:sz w:val="20"/>
          <w:szCs w:val="20"/>
        </w:rPr>
        <w:t>gression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>, and Fine-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Gray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on these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>.</w:t>
      </w:r>
    </w:p>
    <w:p w14:paraId="2EBBFD50" w14:textId="77777777" w:rsidR="00D7727D" w:rsidRPr="00D7727D" w:rsidRDefault="00D7727D" w:rsidP="00D77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727D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D7727D">
        <w:rPr>
          <w:rFonts w:ascii="Times New Roman" w:hAnsi="Times New Roman" w:cs="Times New Roman"/>
          <w:b/>
          <w:sz w:val="20"/>
          <w:szCs w:val="20"/>
        </w:rPr>
        <w:t>:</w:t>
      </w:r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Five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hundred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forty-four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accrued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496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surviving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5.1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interquartile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4.6-6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tumor,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described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to RT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randomization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3 Grade 5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adverse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SD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9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HD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since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primar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report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GI </w:t>
      </w:r>
      <w:proofErr w:type="spellStart"/>
      <w:r>
        <w:rPr>
          <w:rFonts w:ascii="Times New Roman" w:hAnsi="Times New Roman" w:cs="Times New Roman"/>
          <w:sz w:val="20"/>
          <w:szCs w:val="20"/>
        </w:rPr>
        <w:t>bleed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>
        <w:rPr>
          <w:rFonts w:ascii="Times New Roman" w:hAnsi="Times New Roman" w:cs="Times New Roman"/>
          <w:sz w:val="20"/>
          <w:szCs w:val="20"/>
        </w:rPr>
        <w:t>Treat</w:t>
      </w:r>
      <w:r w:rsidRPr="00D7727D">
        <w:rPr>
          <w:rFonts w:ascii="Times New Roman" w:hAnsi="Times New Roman" w:cs="Times New Roman"/>
          <w:sz w:val="20"/>
          <w:szCs w:val="20"/>
        </w:rPr>
        <w:t>ment-related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grade 3+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dysphagia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esophagitis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occurred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in 3.2% and 5.0%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SD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versus 12.1% and 17.4%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HD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(P&lt;0.0001).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remains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statistical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pulmonary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toxicity,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Grade 3+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occurring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in 20.6% and 19.3%,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28.7mo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20.3m</w:t>
      </w:r>
      <w:r>
        <w:rPr>
          <w:rFonts w:ascii="Times New Roman" w:hAnsi="Times New Roman" w:cs="Times New Roman"/>
          <w:sz w:val="20"/>
          <w:szCs w:val="20"/>
        </w:rPr>
        <w:t>o (P =</w:t>
      </w:r>
      <w:r w:rsidRPr="00D7727D">
        <w:rPr>
          <w:rFonts w:ascii="Times New Roman" w:hAnsi="Times New Roman" w:cs="Times New Roman"/>
          <w:sz w:val="20"/>
          <w:szCs w:val="20"/>
        </w:rPr>
        <w:t xml:space="preserve"> 0.0072)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SD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HD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>. 5-year OS and</w:t>
      </w:r>
      <w:r>
        <w:rPr>
          <w:rFonts w:ascii="Times New Roman" w:hAnsi="Times New Roman" w:cs="Times New Roman"/>
          <w:sz w:val="20"/>
          <w:szCs w:val="20"/>
        </w:rPr>
        <w:t xml:space="preserve"> PFS </w:t>
      </w:r>
      <w:proofErr w:type="spellStart"/>
      <w:r>
        <w:rPr>
          <w:rFonts w:ascii="Times New Roman" w:hAnsi="Times New Roman" w:cs="Times New Roman"/>
          <w:sz w:val="20"/>
          <w:szCs w:val="20"/>
        </w:rPr>
        <w:t>rates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are 32.1%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23% (P = 0.004) and 18.3%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13% (P =</w:t>
      </w:r>
      <w:r w:rsidRPr="00D7727D">
        <w:rPr>
          <w:rFonts w:ascii="Times New Roman" w:hAnsi="Times New Roman" w:cs="Times New Roman"/>
          <w:sz w:val="20"/>
          <w:szCs w:val="20"/>
        </w:rPr>
        <w:t xml:space="preserve"> 0.055),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favoring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SD arm.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impacting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OS on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radiation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>
        <w:rPr>
          <w:rFonts w:ascii="Times New Roman" w:hAnsi="Times New Roman" w:cs="Times New Roman"/>
          <w:sz w:val="20"/>
          <w:szCs w:val="20"/>
        </w:rPr>
        <w:t>fa</w:t>
      </w:r>
      <w:r w:rsidRPr="00D7727D">
        <w:rPr>
          <w:rFonts w:ascii="Times New Roman" w:hAnsi="Times New Roman" w:cs="Times New Roman"/>
          <w:sz w:val="20"/>
          <w:szCs w:val="20"/>
        </w:rPr>
        <w:t>voring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SD, tumor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location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instituti</w:t>
      </w:r>
      <w:r>
        <w:rPr>
          <w:rFonts w:ascii="Times New Roman" w:hAnsi="Times New Roman" w:cs="Times New Roman"/>
          <w:sz w:val="20"/>
          <w:szCs w:val="20"/>
        </w:rPr>
        <w:t>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accrual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volume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esophagitis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dysphagia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PTV,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V5.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patterns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are 38.2%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45.7% (P = 0.068), 35.7%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38.4% (P = 0.5), and 52.3%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57.6% (P =</w:t>
      </w:r>
      <w:r w:rsidRPr="00D7727D">
        <w:rPr>
          <w:rFonts w:ascii="Times New Roman" w:hAnsi="Times New Roman" w:cs="Times New Roman"/>
          <w:sz w:val="20"/>
          <w:szCs w:val="20"/>
        </w:rPr>
        <w:t xml:space="preserve"> 0.3).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cetuximab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confers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no benefit.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prior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signal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cetuximab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benefit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H-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scores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longer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apparent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>.</w:t>
      </w:r>
    </w:p>
    <w:p w14:paraId="7CF1BBED" w14:textId="77777777" w:rsidR="00D7727D" w:rsidRPr="00D7727D" w:rsidRDefault="00D7727D" w:rsidP="00D7727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7727D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D7727D">
        <w:rPr>
          <w:rFonts w:ascii="Times New Roman" w:hAnsi="Times New Roman" w:cs="Times New Roman"/>
          <w:b/>
          <w:sz w:val="20"/>
          <w:szCs w:val="20"/>
        </w:rPr>
        <w:t>:</w:t>
      </w:r>
      <w:r w:rsidRPr="00D7727D">
        <w:rPr>
          <w:rFonts w:ascii="Times New Roman" w:hAnsi="Times New Roman" w:cs="Times New Roman"/>
          <w:sz w:val="20"/>
          <w:szCs w:val="20"/>
        </w:rPr>
        <w:t xml:space="preserve"> Sixty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remain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care,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amongst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highest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III NSCLC.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Cetuximab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antibody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to EGFR, had no </w:t>
      </w:r>
      <w:proofErr w:type="spellStart"/>
      <w:r w:rsidRPr="00D7727D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D7727D">
        <w:rPr>
          <w:rFonts w:ascii="Times New Roman" w:hAnsi="Times New Roman" w:cs="Times New Roman"/>
          <w:sz w:val="20"/>
          <w:szCs w:val="20"/>
        </w:rPr>
        <w:t xml:space="preserve"> on OS.</w:t>
      </w:r>
    </w:p>
    <w:sectPr w:rsidR="00D7727D" w:rsidRPr="00D7727D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7D"/>
    <w:rsid w:val="001F110E"/>
    <w:rsid w:val="008443AB"/>
    <w:rsid w:val="00D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6D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607</Words>
  <Characters>3464</Characters>
  <Application>Microsoft Macintosh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2017-10-25T07:00:00Z</dcterms:created>
  <dcterms:modified xsi:type="dcterms:W3CDTF">2017-10-26T11:15:00Z</dcterms:modified>
</cp:coreProperties>
</file>