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48" w:rsidRPr="00EC5E48" w:rsidRDefault="00EC5E48" w:rsidP="00EC5E48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EC5E48">
        <w:rPr>
          <w:rFonts w:ascii="Times New Roman" w:hAnsi="Times New Roman" w:cs="Times New Roman"/>
          <w:b/>
          <w:szCs w:val="20"/>
        </w:rPr>
        <w:t>Multi-institutional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Outcomes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Postprostatectomy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Adjuvant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Versus Early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Salvage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Prostate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Cancer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Patients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Adverse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Pathologic</w:t>
      </w:r>
      <w:proofErr w:type="spellEnd"/>
      <w:r w:rsidRPr="00EC5E4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b/>
          <w:szCs w:val="20"/>
        </w:rPr>
        <w:t>Features</w:t>
      </w:r>
      <w:proofErr w:type="spellEnd"/>
    </w:p>
    <w:p w:rsidR="00EC5E48" w:rsidRPr="00EC5E48" w:rsidRDefault="00EC5E48" w:rsidP="00EC5E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C5E48" w:rsidRDefault="00EC5E48" w:rsidP="00EC5E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C5E48">
        <w:rPr>
          <w:rFonts w:ascii="Times New Roman" w:hAnsi="Times New Roman" w:cs="Times New Roman"/>
          <w:sz w:val="20"/>
          <w:szCs w:val="20"/>
        </w:rPr>
        <w:t>W. Hwang,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C5E48">
        <w:rPr>
          <w:rFonts w:ascii="Times New Roman" w:hAnsi="Times New Roman" w:cs="Times New Roman"/>
          <w:sz w:val="20"/>
          <w:szCs w:val="20"/>
        </w:rPr>
        <w:t xml:space="preserve"> R.D. Tendulkar,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C5E48">
        <w:rPr>
          <w:rFonts w:ascii="Times New Roman" w:hAnsi="Times New Roman" w:cs="Times New Roman"/>
          <w:sz w:val="20"/>
          <w:szCs w:val="20"/>
        </w:rPr>
        <w:t xml:space="preserve"> A. Niemierko,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C5E48">
        <w:rPr>
          <w:rFonts w:ascii="Times New Roman" w:hAnsi="Times New Roman" w:cs="Times New Roman"/>
          <w:sz w:val="20"/>
          <w:szCs w:val="20"/>
        </w:rPr>
        <w:t xml:space="preserve"> S. Agrawal,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5E48">
        <w:rPr>
          <w:rFonts w:ascii="Times New Roman" w:hAnsi="Times New Roman" w:cs="Times New Roman"/>
          <w:sz w:val="20"/>
          <w:szCs w:val="20"/>
        </w:rPr>
        <w:t>K.L. Stephans,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C5E48">
        <w:rPr>
          <w:rFonts w:ascii="Times New Roman" w:hAnsi="Times New Roman" w:cs="Times New Roman"/>
          <w:sz w:val="20"/>
          <w:szCs w:val="20"/>
        </w:rPr>
        <w:t xml:space="preserve"> D.E. Spratt,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EC5E48">
        <w:rPr>
          <w:rFonts w:ascii="Times New Roman" w:hAnsi="Times New Roman" w:cs="Times New Roman"/>
          <w:sz w:val="20"/>
          <w:szCs w:val="20"/>
        </w:rPr>
        <w:t xml:space="preserve"> J.W.D. Hearn,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EC5E48">
        <w:rPr>
          <w:rFonts w:ascii="Times New Roman" w:hAnsi="Times New Roman" w:cs="Times New Roman"/>
          <w:sz w:val="20"/>
          <w:szCs w:val="20"/>
        </w:rPr>
        <w:t xml:space="preserve"> B.F. Koontz,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EC5E48">
        <w:rPr>
          <w:rFonts w:ascii="Times New Roman" w:hAnsi="Times New Roman" w:cs="Times New Roman"/>
          <w:sz w:val="20"/>
          <w:szCs w:val="20"/>
        </w:rPr>
        <w:t xml:space="preserve"> W.R. Lee,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EC5E48">
        <w:rPr>
          <w:rFonts w:ascii="Times New Roman" w:hAnsi="Times New Roman" w:cs="Times New Roman"/>
          <w:sz w:val="20"/>
          <w:szCs w:val="20"/>
        </w:rPr>
        <w:t xml:space="preserve"> J.M. Michalski,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EC5E48">
        <w:rPr>
          <w:rFonts w:ascii="Times New Roman" w:hAnsi="Times New Roman" w:cs="Times New Roman"/>
          <w:sz w:val="20"/>
          <w:szCs w:val="20"/>
        </w:rPr>
        <w:t xml:space="preserve"> T.M. Pisansky,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EC5E48">
        <w:rPr>
          <w:rFonts w:ascii="Times New Roman" w:hAnsi="Times New Roman" w:cs="Times New Roman"/>
          <w:sz w:val="20"/>
          <w:szCs w:val="20"/>
        </w:rPr>
        <w:t xml:space="preserve"> S. Liauw,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EC5E48">
        <w:rPr>
          <w:rFonts w:ascii="Times New Roman" w:hAnsi="Times New Roman" w:cs="Times New Roman"/>
          <w:sz w:val="20"/>
          <w:szCs w:val="20"/>
        </w:rPr>
        <w:t xml:space="preserve"> M.C.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C5E48">
        <w:rPr>
          <w:rFonts w:ascii="Times New Roman" w:hAnsi="Times New Roman" w:cs="Times New Roman"/>
          <w:sz w:val="20"/>
          <w:szCs w:val="20"/>
        </w:rPr>
        <w:t>bramowitz,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5E48">
        <w:rPr>
          <w:rFonts w:ascii="Times New Roman" w:hAnsi="Times New Roman" w:cs="Times New Roman"/>
          <w:sz w:val="20"/>
          <w:szCs w:val="20"/>
        </w:rPr>
        <w:t>A. Pollack,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EC5E48">
        <w:rPr>
          <w:rFonts w:ascii="Times New Roman" w:hAnsi="Times New Roman" w:cs="Times New Roman"/>
          <w:sz w:val="20"/>
          <w:szCs w:val="20"/>
        </w:rPr>
        <w:t xml:space="preserve"> D. Moghanaki,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EC5E48">
        <w:rPr>
          <w:rFonts w:ascii="Times New Roman" w:hAnsi="Times New Roman" w:cs="Times New Roman"/>
          <w:sz w:val="20"/>
          <w:szCs w:val="20"/>
        </w:rPr>
        <w:t xml:space="preserve"> M.S. Anscher,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EC5E48">
        <w:rPr>
          <w:rFonts w:ascii="Times New Roman" w:hAnsi="Times New Roman" w:cs="Times New Roman"/>
          <w:sz w:val="20"/>
          <w:szCs w:val="20"/>
        </w:rPr>
        <w:t xml:space="preserve"> R.B. Den,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5E48">
        <w:rPr>
          <w:rFonts w:ascii="Times New Roman" w:hAnsi="Times New Roman" w:cs="Times New Roman"/>
          <w:sz w:val="20"/>
          <w:szCs w:val="20"/>
        </w:rPr>
        <w:t>A.L. Zietman,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EC5E48">
        <w:rPr>
          <w:rFonts w:ascii="Times New Roman" w:hAnsi="Times New Roman" w:cs="Times New Roman"/>
          <w:sz w:val="20"/>
          <w:szCs w:val="20"/>
        </w:rPr>
        <w:t xml:space="preserve"> A.J. Stephenson,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EC5E48">
        <w:rPr>
          <w:rFonts w:ascii="Times New Roman" w:hAnsi="Times New Roman" w:cs="Times New Roman"/>
          <w:sz w:val="20"/>
          <w:szCs w:val="20"/>
        </w:rPr>
        <w:t xml:space="preserve"> and J.A. Efstathiou</w:t>
      </w:r>
      <w:r w:rsidRPr="00EC5E48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EC5E4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C5E48" w:rsidRDefault="00EC5E48" w:rsidP="00EC5E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C5E48" w:rsidRPr="00EC5E48" w:rsidRDefault="00EC5E48" w:rsidP="00EC5E48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Harvard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Program, Massachusetts General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Taussig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Institute, Cleveland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Clinic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Cleveland, OH,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Massachusetts General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Case Western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Reserve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Cleveland, OH,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Michigan, Ann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Arbor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MI,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Duke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Institute,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Durham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NC,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Duke University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Durham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NC,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Washington University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St. Louis, MO,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Mayo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Clinic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Rochester, MN,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Chicago, Chicago, IL,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Miami, Miami, FL,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12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Hunter Holmes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McGuire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Veterans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Affairs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Richmond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VA,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13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Virginia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Commonwealth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Richmond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VA,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14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Sidney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Kimmel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College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at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Thomas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Jefferson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University,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Sidney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Kimmel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Center, Philadelphia, PA,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15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Massachusetts General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Harvard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EC5E48">
        <w:rPr>
          <w:rFonts w:ascii="Times New Roman" w:hAnsi="Times New Roman" w:cs="Times New Roman"/>
          <w:i/>
          <w:sz w:val="20"/>
          <w:szCs w:val="20"/>
          <w:vertAlign w:val="superscript"/>
        </w:rPr>
        <w:t>16</w:t>
      </w:r>
      <w:r w:rsidRPr="00EC5E48">
        <w:rPr>
          <w:rFonts w:ascii="Times New Roman" w:hAnsi="Times New Roman" w:cs="Times New Roman"/>
          <w:i/>
          <w:sz w:val="20"/>
          <w:szCs w:val="20"/>
        </w:rPr>
        <w:t xml:space="preserve">Cleveland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Clinic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Glickman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Urology and </w:t>
      </w:r>
      <w:proofErr w:type="spellStart"/>
      <w:r w:rsidRPr="00EC5E48">
        <w:rPr>
          <w:rFonts w:ascii="Times New Roman" w:hAnsi="Times New Roman" w:cs="Times New Roman"/>
          <w:i/>
          <w:sz w:val="20"/>
          <w:szCs w:val="20"/>
        </w:rPr>
        <w:t>Kidney</w:t>
      </w:r>
      <w:proofErr w:type="spellEnd"/>
      <w:r w:rsidRPr="00EC5E48">
        <w:rPr>
          <w:rFonts w:ascii="Times New Roman" w:hAnsi="Times New Roman" w:cs="Times New Roman"/>
          <w:i/>
          <w:sz w:val="20"/>
          <w:szCs w:val="20"/>
        </w:rPr>
        <w:t xml:space="preserve"> Institute, Cleveland, OH</w:t>
      </w:r>
    </w:p>
    <w:p w:rsidR="00EC5E48" w:rsidRPr="00EC5E48" w:rsidRDefault="00EC5E48" w:rsidP="00EC5E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C5E48" w:rsidRPr="00EC5E48" w:rsidRDefault="00EC5E48" w:rsidP="00EC5E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5E48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EC5E48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EC5E48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EC5E48">
        <w:rPr>
          <w:rFonts w:ascii="Times New Roman" w:hAnsi="Times New Roman" w:cs="Times New Roman"/>
          <w:b/>
          <w:sz w:val="20"/>
          <w:szCs w:val="20"/>
        </w:rPr>
        <w:t>(s):</w:t>
      </w:r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pat</w:t>
      </w:r>
      <w:r>
        <w:rPr>
          <w:rFonts w:ascii="Times New Roman" w:hAnsi="Times New Roman" w:cs="Times New Roman"/>
          <w:sz w:val="20"/>
          <w:szCs w:val="20"/>
        </w:rPr>
        <w:t>ients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adverse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patho</w:t>
      </w:r>
      <w:r w:rsidRPr="00EC5E48">
        <w:rPr>
          <w:rFonts w:ascii="Times New Roman" w:hAnsi="Times New Roman" w:cs="Times New Roman"/>
          <w:sz w:val="20"/>
          <w:szCs w:val="20"/>
        </w:rPr>
        <w:t>logic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(pT3 and/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positive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margins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prostatectomy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managed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radiothe</w:t>
      </w:r>
      <w:r>
        <w:rPr>
          <w:rFonts w:ascii="Times New Roman" w:hAnsi="Times New Roman" w:cs="Times New Roman"/>
          <w:sz w:val="20"/>
          <w:szCs w:val="20"/>
        </w:rPr>
        <w:t>rapy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(ART)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surveillance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fol</w:t>
      </w:r>
      <w:r w:rsidRPr="00EC5E48">
        <w:rPr>
          <w:rFonts w:ascii="Times New Roman" w:hAnsi="Times New Roman" w:cs="Times New Roman"/>
          <w:sz w:val="20"/>
          <w:szCs w:val="20"/>
        </w:rPr>
        <w:t>lowed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by early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(ESRT)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(FFBF),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(FFDM),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prostate-cancer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(PCSS), and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(OS)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ART versus ESRT. </w:t>
      </w:r>
      <w:proofErr w:type="spellStart"/>
      <w:r w:rsidRPr="00EC5E48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EC5E48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EC5E48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EC5E48">
        <w:rPr>
          <w:rFonts w:ascii="Times New Roman" w:hAnsi="Times New Roman" w:cs="Times New Roman"/>
          <w:b/>
          <w:sz w:val="20"/>
          <w:szCs w:val="20"/>
        </w:rPr>
        <w:t>:</w:t>
      </w:r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Individual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fr</w:t>
      </w:r>
      <w:r>
        <w:rPr>
          <w:rFonts w:ascii="Times New Roman" w:hAnsi="Times New Roman" w:cs="Times New Roman"/>
          <w:sz w:val="20"/>
          <w:szCs w:val="20"/>
        </w:rPr>
        <w:t>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1566 </w:t>
      </w:r>
      <w:proofErr w:type="spellStart"/>
      <w:r>
        <w:rPr>
          <w:rFonts w:ascii="Times New Roman" w:hAnsi="Times New Roman" w:cs="Times New Roman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adverse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patho</w:t>
      </w:r>
      <w:r w:rsidRPr="00EC5E48">
        <w:rPr>
          <w:rFonts w:ascii="Times New Roman" w:hAnsi="Times New Roman" w:cs="Times New Roman"/>
          <w:sz w:val="20"/>
          <w:szCs w:val="20"/>
        </w:rPr>
        <w:t>logic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fea</w:t>
      </w:r>
      <w:r>
        <w:rPr>
          <w:rFonts w:ascii="Times New Roman" w:hAnsi="Times New Roman" w:cs="Times New Roman"/>
          <w:sz w:val="20"/>
          <w:szCs w:val="20"/>
        </w:rPr>
        <w:t>tures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underwent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either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post</w:t>
      </w:r>
      <w:r w:rsidR="00BD6F5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prostatectomy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ART</w:t>
      </w:r>
      <w:r>
        <w:rPr>
          <w:rFonts w:ascii="Times New Roman" w:hAnsi="Times New Roman" w:cs="Times New Roman"/>
          <w:sz w:val="20"/>
          <w:szCs w:val="20"/>
        </w:rPr>
        <w:t xml:space="preserve"> (n =</w:t>
      </w:r>
      <w:r w:rsidRPr="00EC5E48">
        <w:rPr>
          <w:rFonts w:ascii="Times New Roman" w:hAnsi="Times New Roman" w:cs="Times New Roman"/>
          <w:sz w:val="20"/>
          <w:szCs w:val="20"/>
        </w:rPr>
        <w:t xml:space="preserve"> 371; PSA &lt; 0.1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und</w:t>
      </w:r>
      <w:r w:rsidR="00BD6F5F">
        <w:rPr>
          <w:rFonts w:ascii="Times New Roman" w:hAnsi="Times New Roman" w:cs="Times New Roman"/>
          <w:sz w:val="20"/>
          <w:szCs w:val="20"/>
        </w:rPr>
        <w:t>etectable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assay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ESRT (n =</w:t>
      </w:r>
      <w:r w:rsidRPr="00EC5E48">
        <w:rPr>
          <w:rFonts w:ascii="Times New Roman" w:hAnsi="Times New Roman" w:cs="Times New Roman"/>
          <w:sz w:val="20"/>
          <w:szCs w:val="20"/>
        </w:rPr>
        <w:t xml:space="preserve"> 1195; 0.1 </w:t>
      </w:r>
      <w:r w:rsidR="00BD6F5F">
        <w:rPr>
          <w:rFonts w:ascii="Times New Roman" w:hAnsi="Times New Roman" w:cs="Times New Roman"/>
          <w:sz w:val="20"/>
          <w:szCs w:val="20"/>
        </w:rPr>
        <w:sym w:font="Symbol" w:char="F0A3"/>
      </w:r>
      <w:r w:rsidR="00BD6F5F">
        <w:rPr>
          <w:rFonts w:ascii="Times New Roman" w:hAnsi="Times New Roman" w:cs="Times New Roman"/>
          <w:sz w:val="20"/>
          <w:szCs w:val="20"/>
        </w:rPr>
        <w:t xml:space="preserve"> </w:t>
      </w:r>
      <w:r w:rsidRPr="00EC5E48">
        <w:rPr>
          <w:rFonts w:ascii="Times New Roman" w:hAnsi="Times New Roman" w:cs="Times New Roman"/>
          <w:sz w:val="20"/>
          <w:szCs w:val="20"/>
        </w:rPr>
        <w:t xml:space="preserve">PSA </w:t>
      </w:r>
      <w:r w:rsidR="00BD6F5F">
        <w:rPr>
          <w:rFonts w:ascii="Times New Roman" w:hAnsi="Times New Roman" w:cs="Times New Roman"/>
          <w:sz w:val="20"/>
          <w:szCs w:val="20"/>
        </w:rPr>
        <w:sym w:font="Symbol" w:char="F0A3"/>
      </w:r>
      <w:r w:rsidR="00BD6F5F">
        <w:rPr>
          <w:rFonts w:ascii="Times New Roman" w:hAnsi="Times New Roman" w:cs="Times New Roman"/>
          <w:sz w:val="20"/>
          <w:szCs w:val="20"/>
        </w:rPr>
        <w:t xml:space="preserve"> </w:t>
      </w:r>
      <w:r w:rsidRPr="00EC5E48">
        <w:rPr>
          <w:rFonts w:ascii="Times New Roman" w:hAnsi="Times New Roman" w:cs="Times New Roman"/>
          <w:sz w:val="20"/>
          <w:szCs w:val="20"/>
        </w:rPr>
        <w:t xml:space="preserve">0.5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1987 and 2013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centers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pooled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. Post-RT BF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a PSA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rise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to </w:t>
      </w:r>
      <w:r w:rsidR="00BD6F5F">
        <w:rPr>
          <w:rFonts w:ascii="Times New Roman" w:hAnsi="Times New Roman" w:cs="Times New Roman"/>
          <w:sz w:val="20"/>
          <w:szCs w:val="20"/>
        </w:rPr>
        <w:sym w:font="Symbol" w:char="F0B3"/>
      </w:r>
      <w:r w:rsidRPr="00EC5E48">
        <w:rPr>
          <w:rFonts w:ascii="Times New Roman" w:hAnsi="Times New Roman" w:cs="Times New Roman"/>
          <w:sz w:val="20"/>
          <w:szCs w:val="20"/>
        </w:rPr>
        <w:t xml:space="preserve"> 0.2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mL.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measured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lead-time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bias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. FFBF, FFDM, PCSS, and OS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Kaplan-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analyzed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(PS) 1:1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matching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account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covariates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selection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, 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margin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status, and use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post-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operative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androgen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deprivation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(ADT). A sensitivity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completed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limitation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unknown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proportion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ART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develop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BF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cured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>.</w:t>
      </w:r>
    </w:p>
    <w:p w:rsidR="00EC5E48" w:rsidRPr="00EC5E48" w:rsidRDefault="00EC5E48" w:rsidP="00EC5E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D6F5F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BD6F5F">
        <w:rPr>
          <w:rFonts w:ascii="Times New Roman" w:hAnsi="Times New Roman" w:cs="Times New Roman"/>
          <w:b/>
          <w:sz w:val="20"/>
          <w:szCs w:val="20"/>
        </w:rPr>
        <w:t>:</w:t>
      </w:r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to RT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4.4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23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5.4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7.7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ART and ESRT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>. Ten-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FFBF (75%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59%, P </w:t>
      </w:r>
      <w:r w:rsidR="00BD6F5F">
        <w:rPr>
          <w:rFonts w:ascii="Times New Roman" w:hAnsi="Times New Roman" w:cs="Times New Roman"/>
          <w:sz w:val="20"/>
          <w:szCs w:val="20"/>
        </w:rPr>
        <w:t>=</w:t>
      </w:r>
      <w:r w:rsidRPr="00EC5E48">
        <w:rPr>
          <w:rFonts w:ascii="Times New Roman" w:hAnsi="Times New Roman" w:cs="Times New Roman"/>
          <w:sz w:val="20"/>
          <w:szCs w:val="20"/>
        </w:rPr>
        <w:t xml:space="preserve"> 0</w:t>
      </w:r>
      <w:r w:rsidR="00BD6F5F">
        <w:rPr>
          <w:rFonts w:ascii="Times New Roman" w:hAnsi="Times New Roman" w:cs="Times New Roman"/>
          <w:sz w:val="20"/>
          <w:szCs w:val="20"/>
        </w:rPr>
        <w:t xml:space="preserve">.0001) and PCSS (99%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97%, P =</w:t>
      </w:r>
      <w:r w:rsidRPr="00EC5E48">
        <w:rPr>
          <w:rFonts w:ascii="Times New Roman" w:hAnsi="Times New Roman" w:cs="Times New Roman"/>
          <w:sz w:val="20"/>
          <w:szCs w:val="20"/>
        </w:rPr>
        <w:t xml:space="preserve"> 0.01)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</w:t>
      </w:r>
      <w:r w:rsidR="00BD6F5F">
        <w:rPr>
          <w:rFonts w:ascii="Times New Roman" w:hAnsi="Times New Roman" w:cs="Times New Roman"/>
          <w:sz w:val="20"/>
          <w:szCs w:val="20"/>
        </w:rPr>
        <w:t xml:space="preserve">RT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FFDM (95%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92%, P = 0.28) and OS (93%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91%, P =</w:t>
      </w:r>
      <w:r w:rsidRPr="00EC5E48">
        <w:rPr>
          <w:rFonts w:ascii="Times New Roman" w:hAnsi="Times New Roman" w:cs="Times New Roman"/>
          <w:sz w:val="20"/>
          <w:szCs w:val="20"/>
        </w:rPr>
        <w:t xml:space="preserve"> 0.21)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PS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matching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, ART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lastRenderedPageBreak/>
        <w:t>associated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10-year FFBF (75%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53%, P &lt; 0.000</w:t>
      </w:r>
      <w:r w:rsidR="00BD6F5F">
        <w:rPr>
          <w:rFonts w:ascii="Times New Roman" w:hAnsi="Times New Roman" w:cs="Times New Roman"/>
          <w:sz w:val="20"/>
          <w:szCs w:val="20"/>
        </w:rPr>
        <w:t xml:space="preserve">1) but not FFDM (95%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93%, P = 0.25), PCSS (99%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99%, P = 0.58),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OS (93%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86%, P =</w:t>
      </w:r>
      <w:r w:rsidRPr="00EC5E48">
        <w:rPr>
          <w:rFonts w:ascii="Times New Roman" w:hAnsi="Times New Roman" w:cs="Times New Roman"/>
          <w:sz w:val="20"/>
          <w:szCs w:val="20"/>
        </w:rPr>
        <w:t xml:space="preserve"> 0.05). On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, ART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remained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decreased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ris</w:t>
      </w:r>
      <w:r w:rsidR="00BD6F5F">
        <w:rPr>
          <w:rFonts w:ascii="Times New Roman" w:hAnsi="Times New Roman" w:cs="Times New Roman"/>
          <w:sz w:val="20"/>
          <w:szCs w:val="20"/>
        </w:rPr>
        <w:t xml:space="preserve">k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BF (HR 0.45 [95% CI, 0.31 -</w:t>
      </w:r>
      <w:r w:rsidRPr="00EC5E48">
        <w:rPr>
          <w:rFonts w:ascii="Times New Roman" w:hAnsi="Times New Roman" w:cs="Times New Roman"/>
          <w:sz w:val="20"/>
          <w:szCs w:val="20"/>
        </w:rPr>
        <w:t xml:space="preserve"> 0.69]; P &lt; 0.001).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continuous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v</w:t>
      </w:r>
      <w:r w:rsidR="00BD6F5F">
        <w:rPr>
          <w:rFonts w:ascii="Times New Roman" w:hAnsi="Times New Roman" w:cs="Times New Roman"/>
          <w:sz w:val="20"/>
          <w:szCs w:val="20"/>
        </w:rPr>
        <w:t>ariable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(HR 1.81 [95% CI, 1.51 -</w:t>
      </w:r>
      <w:r w:rsidRPr="00EC5E48">
        <w:rPr>
          <w:rFonts w:ascii="Times New Roman" w:hAnsi="Times New Roman" w:cs="Times New Roman"/>
          <w:sz w:val="20"/>
          <w:szCs w:val="20"/>
        </w:rPr>
        <w:t xml:space="preserve"> 2.17]; P &lt; 0.0005), pT3b</w:t>
      </w:r>
      <w:r w:rsidR="00BD6F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pT2 (HR 1.75 [95% CI, 1.07 - 2.86]; P =</w:t>
      </w:r>
      <w:r w:rsidRPr="00EC5E48">
        <w:rPr>
          <w:rFonts w:ascii="Times New Roman" w:hAnsi="Times New Roman" w:cs="Times New Roman"/>
          <w:sz w:val="20"/>
          <w:szCs w:val="20"/>
        </w:rPr>
        <w:t xml:space="preserve"> 0.027), and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omitting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pelvic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n</w:t>
      </w:r>
      <w:r w:rsidR="00BD6F5F">
        <w:rPr>
          <w:rFonts w:ascii="Times New Roman" w:hAnsi="Times New Roman" w:cs="Times New Roman"/>
          <w:sz w:val="20"/>
          <w:szCs w:val="20"/>
        </w:rPr>
        <w:t>odal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RT (HR 5.13 [95% CI, 2.44 -</w:t>
      </w:r>
      <w:r w:rsidRPr="00EC5E48">
        <w:rPr>
          <w:rFonts w:ascii="Times New Roman" w:hAnsi="Times New Roman" w:cs="Times New Roman"/>
          <w:sz w:val="20"/>
          <w:szCs w:val="20"/>
        </w:rPr>
        <w:t xml:space="preserve"> 10.7]; P &lt; 0.0005)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independent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unfavorable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prognostic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postoperative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independently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sensitivity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BD6F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6F5F">
        <w:rPr>
          <w:rFonts w:ascii="Times New Roman" w:hAnsi="Times New Roman" w:cs="Times New Roman"/>
          <w:sz w:val="20"/>
          <w:szCs w:val="20"/>
        </w:rPr>
        <w:t>demon</w:t>
      </w:r>
      <w:r w:rsidRPr="00EC5E48">
        <w:rPr>
          <w:rFonts w:ascii="Times New Roman" w:hAnsi="Times New Roman" w:cs="Times New Roman"/>
          <w:sz w:val="20"/>
          <w:szCs w:val="20"/>
        </w:rPr>
        <w:t>strated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decreased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BF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ART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lost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sta-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tistical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39%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ART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assumed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cured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>.</w:t>
      </w:r>
    </w:p>
    <w:p w:rsidR="00EC5E48" w:rsidRPr="00EC5E48" w:rsidRDefault="00EC5E48" w:rsidP="00EC5E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BD6F5F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BD6F5F">
        <w:rPr>
          <w:rFonts w:ascii="Times New Roman" w:hAnsi="Times New Roman" w:cs="Times New Roman"/>
          <w:b/>
          <w:sz w:val="20"/>
          <w:szCs w:val="20"/>
        </w:rPr>
        <w:t>:</w:t>
      </w:r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optimal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timing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postoperative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unknown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pending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ongoing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large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multi-institutional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retrospective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study,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but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demonstrate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clear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benefit in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avoiding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to early </w:t>
      </w:r>
      <w:proofErr w:type="spellStart"/>
      <w:r w:rsidRPr="00EC5E48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Pr="00EC5E48">
        <w:rPr>
          <w:rFonts w:ascii="Times New Roman" w:hAnsi="Times New Roman" w:cs="Times New Roman"/>
          <w:sz w:val="20"/>
          <w:szCs w:val="20"/>
        </w:rPr>
        <w:t xml:space="preserve"> RT.</w:t>
      </w:r>
    </w:p>
    <w:sectPr w:rsidR="00EC5E48" w:rsidRPr="00EC5E48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48"/>
    <w:rsid w:val="001F110E"/>
    <w:rsid w:val="00BD6F5F"/>
    <w:rsid w:val="00E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671</Words>
  <Characters>3827</Characters>
  <Application>Microsoft Macintosh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2017-10-26T06:34:00Z</dcterms:created>
  <dcterms:modified xsi:type="dcterms:W3CDTF">2017-10-26T06:49:00Z</dcterms:modified>
</cp:coreProperties>
</file>