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9DBCE" w14:textId="77777777" w:rsidR="006351EC" w:rsidRPr="006351EC" w:rsidRDefault="006351EC" w:rsidP="006351EC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6351EC">
        <w:rPr>
          <w:rFonts w:ascii="Times New Roman" w:hAnsi="Times New Roman" w:cs="Times New Roman"/>
          <w:b/>
          <w:szCs w:val="20"/>
        </w:rPr>
        <w:t xml:space="preserve">10-Year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Outcome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on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Efficacy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and Late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Toxicities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Attributed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to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Addition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of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Concurrent-Adjuvant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Chemotherapy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for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III-IVB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Nasopharyngeal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Carcinoma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(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Combined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Analyses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 xml:space="preserve"> NPC-9901 and NPC-9902 </w:t>
      </w:r>
      <w:proofErr w:type="spellStart"/>
      <w:r w:rsidRPr="006351EC">
        <w:rPr>
          <w:rFonts w:ascii="Times New Roman" w:hAnsi="Times New Roman" w:cs="Times New Roman"/>
          <w:b/>
          <w:szCs w:val="20"/>
        </w:rPr>
        <w:t>Trials</w:t>
      </w:r>
      <w:proofErr w:type="spellEnd"/>
      <w:r w:rsidRPr="006351EC">
        <w:rPr>
          <w:rFonts w:ascii="Times New Roman" w:hAnsi="Times New Roman" w:cs="Times New Roman"/>
          <w:b/>
          <w:szCs w:val="20"/>
        </w:rPr>
        <w:t>)</w:t>
      </w:r>
    </w:p>
    <w:p w14:paraId="2A525CCE" w14:textId="77777777" w:rsidR="006351EC" w:rsidRPr="006351EC" w:rsidRDefault="006351EC" w:rsidP="006351EC">
      <w:pPr>
        <w:rPr>
          <w:rFonts w:ascii="Times New Roman" w:hAnsi="Times New Roman" w:cs="Times New Roman"/>
          <w:sz w:val="20"/>
          <w:szCs w:val="20"/>
        </w:rPr>
      </w:pPr>
    </w:p>
    <w:p w14:paraId="34BF2520" w14:textId="77777777" w:rsidR="006351EC" w:rsidRPr="006351EC" w:rsidRDefault="006351EC" w:rsidP="006351E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351EC">
        <w:rPr>
          <w:rFonts w:ascii="Times New Roman" w:hAnsi="Times New Roman" w:cs="Times New Roman"/>
          <w:sz w:val="20"/>
          <w:szCs w:val="20"/>
        </w:rPr>
        <w:t>A.W.M. Lee,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51EC">
        <w:rPr>
          <w:rFonts w:ascii="Times New Roman" w:hAnsi="Times New Roman" w:cs="Times New Roman"/>
          <w:sz w:val="20"/>
          <w:szCs w:val="20"/>
        </w:rPr>
        <w:t xml:space="preserve"> S.Y. Tung,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351EC">
        <w:rPr>
          <w:rFonts w:ascii="Times New Roman" w:hAnsi="Times New Roman" w:cs="Times New Roman"/>
          <w:sz w:val="20"/>
          <w:szCs w:val="20"/>
        </w:rPr>
        <w:t xml:space="preserve"> W.T. Ng,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351EC">
        <w:rPr>
          <w:rFonts w:ascii="Times New Roman" w:hAnsi="Times New Roman" w:cs="Times New Roman"/>
          <w:sz w:val="20"/>
          <w:szCs w:val="20"/>
        </w:rPr>
        <w:t xml:space="preserve"> R.K.C. Ngan,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6351EC">
        <w:rPr>
          <w:rFonts w:ascii="Times New Roman" w:hAnsi="Times New Roman" w:cs="Times New Roman"/>
          <w:sz w:val="20"/>
          <w:szCs w:val="20"/>
        </w:rPr>
        <w:t xml:space="preserve"> V.H. Lee,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6351EC">
        <w:rPr>
          <w:rFonts w:ascii="Times New Roman" w:hAnsi="Times New Roman" w:cs="Times New Roman"/>
          <w:sz w:val="20"/>
          <w:szCs w:val="20"/>
        </w:rPr>
        <w:t>H.C.W. Choi,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51EC">
        <w:rPr>
          <w:rFonts w:ascii="Times New Roman" w:hAnsi="Times New Roman" w:cs="Times New Roman"/>
          <w:sz w:val="20"/>
          <w:szCs w:val="20"/>
        </w:rPr>
        <w:t xml:space="preserve"> L. Chan,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351EC">
        <w:rPr>
          <w:rFonts w:ascii="Times New Roman" w:hAnsi="Times New Roman" w:cs="Times New Roman"/>
          <w:sz w:val="20"/>
          <w:szCs w:val="20"/>
        </w:rPr>
        <w:t xml:space="preserve"> T.X. Lu,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6351EC">
        <w:rPr>
          <w:rFonts w:ascii="Times New Roman" w:hAnsi="Times New Roman" w:cs="Times New Roman"/>
          <w:sz w:val="20"/>
          <w:szCs w:val="20"/>
        </w:rPr>
        <w:t xml:space="preserve"> L.L. Siu,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6351EC">
        <w:rPr>
          <w:rFonts w:ascii="Times New Roman" w:hAnsi="Times New Roman" w:cs="Times New Roman"/>
          <w:sz w:val="20"/>
          <w:szCs w:val="20"/>
        </w:rPr>
        <w:t xml:space="preserve"> T.W.K. Tan,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6351EC">
        <w:rPr>
          <w:rFonts w:ascii="Times New Roman" w:hAnsi="Times New Roman" w:cs="Times New Roman"/>
          <w:sz w:val="20"/>
          <w:szCs w:val="20"/>
        </w:rPr>
        <w:t xml:space="preserve"> A.W.Y. Ng,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351EC">
        <w:rPr>
          <w:rFonts w:ascii="Times New Roman" w:hAnsi="Times New Roman" w:cs="Times New Roman"/>
          <w:sz w:val="20"/>
          <w:szCs w:val="20"/>
        </w:rPr>
        <w:t xml:space="preserve"> H.H.Y. Yiu,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6351EC">
        <w:rPr>
          <w:rFonts w:ascii="Times New Roman" w:hAnsi="Times New Roman" w:cs="Times New Roman"/>
          <w:sz w:val="20"/>
          <w:szCs w:val="20"/>
        </w:rPr>
        <w:t xml:space="preserve"> T.W. Leung,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6351EC">
        <w:rPr>
          <w:rFonts w:ascii="Times New Roman" w:hAnsi="Times New Roman" w:cs="Times New Roman"/>
          <w:sz w:val="20"/>
          <w:szCs w:val="20"/>
        </w:rPr>
        <w:t xml:space="preserve"> B. O’Sullivan,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6351EC">
        <w:rPr>
          <w:rFonts w:ascii="Times New Roman" w:hAnsi="Times New Roman" w:cs="Times New Roman"/>
          <w:sz w:val="20"/>
          <w:szCs w:val="20"/>
        </w:rPr>
        <w:t xml:space="preserve"> E.H. Tan,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6351EC">
        <w:rPr>
          <w:rFonts w:ascii="Times New Roman" w:hAnsi="Times New Roman" w:cs="Times New Roman"/>
          <w:sz w:val="20"/>
          <w:szCs w:val="20"/>
        </w:rPr>
        <w:t xml:space="preserve"> and R.J. Chappell</w:t>
      </w:r>
      <w:r w:rsidRPr="006351EC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6351EC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40011BF" w14:textId="77777777" w:rsidR="006351EC" w:rsidRPr="006351EC" w:rsidRDefault="006351EC" w:rsidP="006351EC">
      <w:pPr>
        <w:rPr>
          <w:rFonts w:ascii="Times New Roman" w:hAnsi="Times New Roman" w:cs="Times New Roman"/>
          <w:sz w:val="20"/>
          <w:szCs w:val="20"/>
        </w:rPr>
      </w:pPr>
    </w:p>
    <w:p w14:paraId="31B58D0D" w14:textId="77777777" w:rsidR="006351EC" w:rsidRPr="006351EC" w:rsidRDefault="006351EC" w:rsidP="006351EC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The University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Clinical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Tuen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Mun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Pamela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Youde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Nethersole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Eastern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Queen Elizabeth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Cancer Center, Sun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Yat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-Sen University,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Guangzhou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China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Ontario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Princess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Margaret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Centre, Toronto, ON,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National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Centre Singapore, Singapore, Singapore,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Clinical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Li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Ka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Shing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Faculty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Hong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Kong,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National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Centre, Singapore, Singapore, </w:t>
      </w:r>
      <w:r w:rsidRPr="006351EC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6351EC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 Wisconsin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Madison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i/>
          <w:sz w:val="20"/>
          <w:szCs w:val="20"/>
        </w:rPr>
        <w:t>Madison</w:t>
      </w:r>
      <w:proofErr w:type="spellEnd"/>
      <w:r w:rsidRPr="006351EC">
        <w:rPr>
          <w:rFonts w:ascii="Times New Roman" w:hAnsi="Times New Roman" w:cs="Times New Roman"/>
          <w:i/>
          <w:sz w:val="20"/>
          <w:szCs w:val="20"/>
        </w:rPr>
        <w:t>, WI</w:t>
      </w:r>
    </w:p>
    <w:p w14:paraId="1CF0FC33" w14:textId="77777777" w:rsidR="006351EC" w:rsidRPr="006351EC" w:rsidRDefault="006351EC" w:rsidP="006351EC">
      <w:pPr>
        <w:rPr>
          <w:rFonts w:ascii="Times New Roman" w:hAnsi="Times New Roman" w:cs="Times New Roman"/>
          <w:sz w:val="20"/>
          <w:szCs w:val="20"/>
        </w:rPr>
      </w:pPr>
    </w:p>
    <w:p w14:paraId="6407E726" w14:textId="77777777" w:rsidR="006351EC" w:rsidRDefault="006351EC" w:rsidP="006351E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51EC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6351E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351EC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6351EC">
        <w:rPr>
          <w:rFonts w:ascii="Times New Roman" w:hAnsi="Times New Roman" w:cs="Times New Roman"/>
          <w:b/>
          <w:sz w:val="20"/>
          <w:szCs w:val="20"/>
        </w:rPr>
        <w:t>(s):</w:t>
      </w:r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Concurrent-adjuvant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chemoradiotherapy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(CRT)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became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locoregionally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nasopha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ryngeal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carcinoma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(NPC)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since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report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benefit by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Intergroup-0099 Study.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data on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lacking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confirmatory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(NPC-9901 and NPC- 9902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on N2-3 and T3-4N0-1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concurred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regimen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but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achieve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gain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(OS) up to 5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Validation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therapeutic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ratio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>.</w:t>
      </w:r>
    </w:p>
    <w:p w14:paraId="1E3B869B" w14:textId="77777777" w:rsidR="006351EC" w:rsidRDefault="006351EC" w:rsidP="006351E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51EC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6351E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6351EC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6351EC">
        <w:rPr>
          <w:rFonts w:ascii="Times New Roman" w:hAnsi="Times New Roman" w:cs="Times New Roman"/>
          <w:b/>
          <w:sz w:val="20"/>
          <w:szCs w:val="20"/>
        </w:rPr>
        <w:t>:</w:t>
      </w:r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his</w:t>
      </w:r>
      <w:r>
        <w:rPr>
          <w:rFonts w:ascii="Times New Roman" w:hAnsi="Times New Roman" w:cs="Times New Roman"/>
          <w:sz w:val="20"/>
          <w:szCs w:val="20"/>
        </w:rPr>
        <w:t>tologically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>
        <w:rPr>
          <w:rFonts w:ascii="Times New Roman" w:hAnsi="Times New Roman" w:cs="Times New Roman"/>
          <w:sz w:val="20"/>
          <w:szCs w:val="20"/>
        </w:rPr>
        <w:t>kera</w:t>
      </w:r>
      <w:r w:rsidRPr="006351EC">
        <w:rPr>
          <w:rFonts w:ascii="Times New Roman" w:hAnsi="Times New Roman" w:cs="Times New Roman"/>
          <w:sz w:val="20"/>
          <w:szCs w:val="20"/>
        </w:rPr>
        <w:t>tinizing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carcinoma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nasopharynx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III-IVB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by AJCC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classification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fifth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edition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Focusing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irradiated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conven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tional-fractionation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current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218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randomly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assigned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radiotherapy-alone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(RT) and 223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 CRT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cisplatin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concurrence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RT,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cisplatin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fluorouracil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>.</w:t>
      </w:r>
    </w:p>
    <w:p w14:paraId="6CA7AE10" w14:textId="77777777" w:rsidR="001F110E" w:rsidRPr="006351EC" w:rsidRDefault="006351EC" w:rsidP="006351E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51EC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6351EC">
        <w:rPr>
          <w:rFonts w:ascii="Times New Roman" w:hAnsi="Times New Roman" w:cs="Times New Roman"/>
          <w:b/>
          <w:sz w:val="20"/>
          <w:szCs w:val="20"/>
        </w:rPr>
        <w:t>:</w:t>
      </w:r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4%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lost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-up;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13.9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>.</w:t>
      </w:r>
    </w:p>
    <w:p w14:paraId="77CDA022" w14:textId="77777777" w:rsidR="006351EC" w:rsidRDefault="006351EC" w:rsidP="006351E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toxicity,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latency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manifestation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damage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specific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sites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severity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mortality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toxicity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4.0%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3.2%,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incidental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cause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14.8%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12.8%.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and non-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deaths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observed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early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diminished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long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-up,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ultimately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resulting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gain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in OS.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actual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tr</w:t>
      </w:r>
      <w:r w:rsidR="003B3B20">
        <w:rPr>
          <w:rFonts w:ascii="Times New Roman" w:hAnsi="Times New Roman" w:cs="Times New Roman"/>
          <w:sz w:val="20"/>
          <w:szCs w:val="20"/>
        </w:rPr>
        <w:t>eatment</w:t>
      </w:r>
      <w:proofErr w:type="spellEnd"/>
      <w:r w:rsidR="003B3B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3B20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3B3B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3B20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3B3B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3B20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="003B3B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B3B2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B3B20">
        <w:rPr>
          <w:rFonts w:ascii="Times New Roman" w:hAnsi="Times New Roman" w:cs="Times New Roman"/>
          <w:sz w:val="20"/>
          <w:szCs w:val="20"/>
        </w:rPr>
        <w:t xml:space="preserve"> </w:t>
      </w:r>
      <w:r w:rsidR="003B3B20">
        <w:rPr>
          <w:rFonts w:ascii="Times New Roman" w:hAnsi="Times New Roman" w:cs="Times New Roman"/>
          <w:sz w:val="20"/>
          <w:szCs w:val="20"/>
        </w:rPr>
        <w:sym w:font="Symbol" w:char="F0B3"/>
      </w:r>
      <w:bookmarkStart w:id="0" w:name="_GoBack"/>
      <w:bookmarkEnd w:id="0"/>
      <w:r w:rsidRPr="006351EC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cycles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locor</w:t>
      </w:r>
      <w:r>
        <w:rPr>
          <w:rFonts w:ascii="Times New Roman" w:hAnsi="Times New Roman" w:cs="Times New Roman"/>
          <w:sz w:val="20"/>
          <w:szCs w:val="20"/>
        </w:rPr>
        <w:t>egional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(86% </w:t>
      </w:r>
      <w:proofErr w:type="spellStart"/>
      <w:r>
        <w:rPr>
          <w:rFonts w:ascii="Times New Roman" w:hAnsi="Times New Roman" w:cs="Times New Roman"/>
          <w:sz w:val="20"/>
          <w:szCs w:val="20"/>
        </w:rPr>
        <w:t>vs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74%, P =</w:t>
      </w:r>
      <w:r w:rsidR="00E12D27">
        <w:rPr>
          <w:rFonts w:ascii="Times New Roman" w:hAnsi="Times New Roman" w:cs="Times New Roman"/>
          <w:sz w:val="20"/>
          <w:szCs w:val="20"/>
        </w:rPr>
        <w:t xml:space="preserve"> 0.001) and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</w:t>
      </w:r>
      <w:r w:rsidR="00E12D27">
        <w:rPr>
          <w:rFonts w:ascii="Times New Roman" w:hAnsi="Times New Roman" w:cs="Times New Roman"/>
          <w:sz w:val="20"/>
          <w:szCs w:val="20"/>
        </w:rPr>
        <w:sym w:font="Symbol" w:char="F0B3"/>
      </w:r>
      <w:r w:rsidR="00E12D27">
        <w:rPr>
          <w:rFonts w:ascii="Times New Roman" w:hAnsi="Times New Roman" w:cs="Times New Roman"/>
          <w:sz w:val="20"/>
          <w:szCs w:val="20"/>
        </w:rPr>
        <w:t xml:space="preserve"> </w:t>
      </w:r>
      <w:r w:rsidRPr="006351EC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cycles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(73%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64%, P =</w:t>
      </w:r>
      <w:r w:rsidRPr="006351EC">
        <w:rPr>
          <w:rFonts w:ascii="Times New Roman" w:hAnsi="Times New Roman" w:cs="Times New Roman"/>
          <w:sz w:val="20"/>
          <w:szCs w:val="20"/>
        </w:rPr>
        <w:t xml:space="preserve"> 0.019)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0-1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cycles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>.</w:t>
      </w:r>
    </w:p>
    <w:p w14:paraId="2685302A" w14:textId="77777777" w:rsidR="006351EC" w:rsidRPr="006351EC" w:rsidRDefault="006351EC" w:rsidP="00E12D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12D27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E12D27">
        <w:rPr>
          <w:rFonts w:ascii="Times New Roman" w:hAnsi="Times New Roman" w:cs="Times New Roman"/>
          <w:b/>
          <w:sz w:val="20"/>
          <w:szCs w:val="20"/>
        </w:rPr>
        <w:t>:</w:t>
      </w:r>
      <w:r w:rsidRPr="006351EC">
        <w:rPr>
          <w:rFonts w:ascii="Times New Roman" w:hAnsi="Times New Roman" w:cs="Times New Roman"/>
          <w:sz w:val="20"/>
          <w:szCs w:val="20"/>
        </w:rPr>
        <w:t xml:space="preserve"> Long-term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cisplatin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plus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adjuvant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cisplatin-fluorou</w:t>
      </w:r>
      <w:r w:rsidR="00E12D27">
        <w:rPr>
          <w:rFonts w:ascii="Times New Roman" w:hAnsi="Times New Roman" w:cs="Times New Roman"/>
          <w:sz w:val="20"/>
          <w:szCs w:val="20"/>
        </w:rPr>
        <w:t>racil</w:t>
      </w:r>
      <w:proofErr w:type="spellEnd"/>
      <w:r w:rsidR="00E12D2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12D27">
        <w:rPr>
          <w:rFonts w:ascii="Times New Roman" w:hAnsi="Times New Roman" w:cs="Times New Roman"/>
          <w:sz w:val="20"/>
          <w:szCs w:val="20"/>
        </w:rPr>
        <w:t>conventional-fraction</w:t>
      </w:r>
      <w:r w:rsidRPr="006351EC">
        <w:rPr>
          <w:rFonts w:ascii="Times New Roman" w:hAnsi="Times New Roman" w:cs="Times New Roman"/>
          <w:sz w:val="20"/>
          <w:szCs w:val="20"/>
        </w:rPr>
        <w:t>ated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RT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excessive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late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locoregionally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NPC.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better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compliance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and/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potent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improving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351EC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Pr="006351EC">
        <w:rPr>
          <w:rFonts w:ascii="Times New Roman" w:hAnsi="Times New Roman" w:cs="Times New Roman"/>
          <w:sz w:val="20"/>
          <w:szCs w:val="20"/>
        </w:rPr>
        <w:t>.</w:t>
      </w:r>
    </w:p>
    <w:sectPr w:rsidR="006351EC" w:rsidRPr="006351EC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EC"/>
    <w:rsid w:val="001F110E"/>
    <w:rsid w:val="003B3B20"/>
    <w:rsid w:val="006351EC"/>
    <w:rsid w:val="00E1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5556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483</Words>
  <Characters>2754</Characters>
  <Application>Microsoft Macintosh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2017-10-24T06:10:00Z</dcterms:created>
  <dcterms:modified xsi:type="dcterms:W3CDTF">2017-10-26T11:03:00Z</dcterms:modified>
</cp:coreProperties>
</file>