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6B7C09">
        <w:rPr>
          <w:rFonts w:ascii="Times New Roman" w:hAnsi="Times New Roman" w:cs="Times New Roman"/>
          <w:b/>
          <w:szCs w:val="20"/>
        </w:rPr>
        <w:t>Longer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-Term Androgen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Deprivation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Improves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Cancer-Specific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With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Gleason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Score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9-10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Adenocarcinoma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An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Individual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Patient-Level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Meta-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analysis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b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b/>
          <w:szCs w:val="20"/>
        </w:rPr>
        <w:t xml:space="preserve"> RTOG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6B7C09">
        <w:rPr>
          <w:rFonts w:ascii="Times New Roman" w:hAnsi="Times New Roman" w:cs="Times New Roman"/>
          <w:b/>
          <w:szCs w:val="20"/>
        </w:rPr>
        <w:t>8531, 8610, and 9202</w:t>
      </w: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7C09">
        <w:rPr>
          <w:rFonts w:ascii="Times New Roman" w:hAnsi="Times New Roman" w:cs="Times New Roman"/>
          <w:sz w:val="20"/>
          <w:szCs w:val="20"/>
        </w:rPr>
        <w:t>A.U. Kishan,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B7C09">
        <w:rPr>
          <w:rFonts w:ascii="Times New Roman" w:hAnsi="Times New Roman" w:cs="Times New Roman"/>
          <w:sz w:val="20"/>
          <w:szCs w:val="20"/>
        </w:rPr>
        <w:t xml:space="preserve"> X. Wang,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B7C09">
        <w:rPr>
          <w:rFonts w:ascii="Times New Roman" w:hAnsi="Times New Roman" w:cs="Times New Roman"/>
          <w:sz w:val="20"/>
          <w:szCs w:val="20"/>
        </w:rPr>
        <w:t xml:space="preserve"> K.A. Sandler,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B7C09">
        <w:rPr>
          <w:rFonts w:ascii="Times New Roman" w:hAnsi="Times New Roman" w:cs="Times New Roman"/>
          <w:sz w:val="20"/>
          <w:szCs w:val="20"/>
        </w:rPr>
        <w:t xml:space="preserve"> N. Nickols,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6B7C09">
        <w:rPr>
          <w:rFonts w:ascii="Times New Roman" w:hAnsi="Times New Roman" w:cs="Times New Roman"/>
          <w:sz w:val="20"/>
          <w:szCs w:val="20"/>
        </w:rPr>
        <w:t xml:space="preserve"> M.L. Steinberg,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6B7C09">
        <w:rPr>
          <w:rFonts w:ascii="Times New Roman" w:hAnsi="Times New Roman" w:cs="Times New Roman"/>
          <w:sz w:val="20"/>
          <w:szCs w:val="20"/>
        </w:rPr>
        <w:t xml:space="preserve"> and C.R. King</w:t>
      </w:r>
      <w:r w:rsidRPr="006B7C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B7C0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6B7C0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6B7C09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Los Angeles, Los Angeles, CA, </w:t>
      </w:r>
      <w:r w:rsidRPr="006B7C09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6B7C09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Los Angeles, Los Angeles, CA, </w:t>
      </w:r>
      <w:r w:rsidRPr="006B7C09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6B7C09">
        <w:rPr>
          <w:rFonts w:ascii="Times New Roman" w:hAnsi="Times New Roman" w:cs="Times New Roman"/>
          <w:i/>
          <w:sz w:val="20"/>
          <w:szCs w:val="20"/>
        </w:rPr>
        <w:t xml:space="preserve">David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Geffen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UCLA, Los Angeles, CA, </w:t>
      </w:r>
      <w:r w:rsidRPr="006B7C09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6B7C09">
        <w:rPr>
          <w:rFonts w:ascii="Times New Roman" w:hAnsi="Times New Roman" w:cs="Times New Roman"/>
          <w:i/>
          <w:sz w:val="20"/>
          <w:szCs w:val="20"/>
        </w:rPr>
        <w:t xml:space="preserve">Division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Chemical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Engineering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Institute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Technology,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Pasadena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, CA, </w:t>
      </w:r>
      <w:r w:rsidRPr="006B7C09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6B7C09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6B7C09">
        <w:rPr>
          <w:rFonts w:ascii="Times New Roman" w:hAnsi="Times New Roman" w:cs="Times New Roman"/>
          <w:i/>
          <w:sz w:val="20"/>
          <w:szCs w:val="20"/>
        </w:rPr>
        <w:t>, Los Angeles, Los Angeles, CA</w:t>
      </w: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(s):</w:t>
      </w:r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suggested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grade 5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carcinoma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responsive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androgen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(ADT)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grade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trialsdRTOG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8531, 8610, and 9202dhave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utilization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duration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concert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(RT).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ADT on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(GS) 9-10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definition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grade 5-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containing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>.</w:t>
      </w: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:</w:t>
      </w:r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RTOG 8531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lifelong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ADT vs. 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RTOG 8610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short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-term ADT (STADT, 4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mos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) vs. 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RTOG 9202 to long-term ADT (LTADT, 28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mos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) vs. STADT. Data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NRG via a data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sharing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allow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351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on these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protocols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had GS 9-10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(OS) and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(DMFS),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patient-level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hazard ratio (HR) and standard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error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estimates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pair-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wise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fitting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adjusting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GS (9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10) and T-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(CSS),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fitting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cause-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data. A Network Meta-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(NMA)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adopted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pair-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wise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meta-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pairs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analyzing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-trial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comparisons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NMA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framework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enables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incorporation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indirect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comparisons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constructed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>.</w:t>
      </w: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:</w:t>
      </w:r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6.01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lifelong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DMFS, CSS, and OS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and STADT;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DMFS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lif</w:t>
      </w:r>
      <w:r>
        <w:rPr>
          <w:rFonts w:ascii="Times New Roman" w:hAnsi="Times New Roman" w:cs="Times New Roman"/>
          <w:sz w:val="20"/>
          <w:szCs w:val="20"/>
        </w:rPr>
        <w:t>elong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ADT versus LTADT</w:t>
      </w:r>
      <w:r w:rsidRPr="006B7C09">
        <w:rPr>
          <w:rFonts w:ascii="Times New Roman" w:hAnsi="Times New Roman" w:cs="Times New Roman"/>
          <w:sz w:val="20"/>
          <w:szCs w:val="20"/>
        </w:rPr>
        <w:t xml:space="preserve">. LTADT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offered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DMFS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STADT ADT, but not 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Though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nificant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STADT vs. RT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inferior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>.</w:t>
      </w:r>
    </w:p>
    <w:p w:rsidR="006B7C09" w:rsidRPr="006B7C09" w:rsidRDefault="006B7C09" w:rsidP="006B7C0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6B7C09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6B7C09">
        <w:rPr>
          <w:rFonts w:ascii="Times New Roman" w:hAnsi="Times New Roman" w:cs="Times New Roman"/>
          <w:b/>
          <w:sz w:val="20"/>
          <w:szCs w:val="20"/>
        </w:rPr>
        <w:t>:</w:t>
      </w:r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6B7C09">
        <w:rPr>
          <w:rFonts w:ascii="Times New Roman" w:hAnsi="Times New Roman" w:cs="Times New Roman"/>
          <w:sz w:val="20"/>
          <w:szCs w:val="20"/>
        </w:rPr>
        <w:t xml:space="preserve">GS 9-10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PCa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appear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show 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temporal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dose-response to ADT,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contrary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hypothesis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grade 5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cancers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relatively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hormone-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insensitive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inferior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STADT are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sample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extension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findings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modern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era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dose-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constitutes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area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7C09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6B7C09">
        <w:rPr>
          <w:rFonts w:ascii="Times New Roman" w:hAnsi="Times New Roman" w:cs="Times New Roman"/>
          <w:sz w:val="20"/>
          <w:szCs w:val="20"/>
        </w:rPr>
        <w:t xml:space="preserve"> study.</w:t>
      </w:r>
    </w:p>
    <w:sectPr w:rsidR="006B7C09" w:rsidRPr="006B7C09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09"/>
    <w:rsid w:val="001F110E"/>
    <w:rsid w:val="006B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2623</Characters>
  <Application>Microsoft Macintosh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2017-10-26T07:12:00Z</dcterms:created>
  <dcterms:modified xsi:type="dcterms:W3CDTF">2017-10-26T07:16:00Z</dcterms:modified>
</cp:coreProperties>
</file>