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6CD2E" w14:textId="77777777" w:rsidR="00653077" w:rsidRP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2"/>
          <w:szCs w:val="28"/>
          <w:lang w:val="en-US"/>
        </w:rPr>
      </w:pPr>
      <w:r w:rsidRPr="00653077">
        <w:rPr>
          <w:rFonts w:ascii="Arial" w:hAnsi="Arial" w:cs="Arial"/>
          <w:b/>
          <w:sz w:val="32"/>
          <w:szCs w:val="28"/>
          <w:lang w:val="en-US"/>
        </w:rPr>
        <w:t xml:space="preserve">Long-term Patient Reported Outcomes From a Phase 3 Randomized Prospective Trial of Conventional Versus </w:t>
      </w:r>
      <w:proofErr w:type="spellStart"/>
      <w:r w:rsidRPr="00653077">
        <w:rPr>
          <w:rFonts w:ascii="Arial" w:hAnsi="Arial" w:cs="Arial"/>
          <w:b/>
          <w:sz w:val="32"/>
          <w:szCs w:val="28"/>
          <w:lang w:val="en-US"/>
        </w:rPr>
        <w:t>Hypofractionated</w:t>
      </w:r>
      <w:proofErr w:type="spellEnd"/>
      <w:r w:rsidRPr="00653077">
        <w:rPr>
          <w:rFonts w:ascii="Arial" w:hAnsi="Arial" w:cs="Arial"/>
          <w:b/>
          <w:sz w:val="32"/>
          <w:szCs w:val="28"/>
          <w:lang w:val="en-US"/>
        </w:rPr>
        <w:t xml:space="preserve"> IMRT Radiation Therapy for Localized Prostate Cancer </w:t>
      </w:r>
    </w:p>
    <w:p w14:paraId="1EFA18C2" w14:textId="77777777" w:rsid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7B94830B" w14:textId="77777777" w:rsidR="00653077" w:rsidRP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lang w:val="en-US"/>
        </w:rPr>
      </w:pPr>
      <w:r w:rsidRPr="00653077">
        <w:rPr>
          <w:rFonts w:ascii="Arial" w:hAnsi="Arial" w:cs="Arial"/>
          <w:i/>
          <w:lang w:val="en-US"/>
        </w:rPr>
        <w:t xml:space="preserve">T. </w:t>
      </w:r>
      <w:proofErr w:type="spellStart"/>
      <w:r w:rsidRPr="00653077">
        <w:rPr>
          <w:rFonts w:ascii="Arial" w:hAnsi="Arial" w:cs="Arial"/>
          <w:i/>
          <w:lang w:val="en-US"/>
        </w:rPr>
        <w:t>Shaikh</w:t>
      </w:r>
      <w:proofErr w:type="spellEnd"/>
      <w:r w:rsidRPr="00653077">
        <w:rPr>
          <w:rFonts w:ascii="Arial" w:hAnsi="Arial" w:cs="Arial"/>
          <w:i/>
          <w:lang w:val="en-US"/>
        </w:rPr>
        <w:t>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T. Li,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M.E. Johnson,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L. Wang,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M.A. Hallman, R.E. Greenberg,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 xml:space="preserve">R.A. Price, </w:t>
      </w:r>
      <w:proofErr w:type="spellStart"/>
      <w:r w:rsidRPr="00653077">
        <w:rPr>
          <w:rFonts w:ascii="Arial" w:hAnsi="Arial" w:cs="Arial"/>
          <w:i/>
          <w:lang w:val="en-US"/>
        </w:rPr>
        <w:t>Jr</w:t>
      </w:r>
      <w:proofErr w:type="spellEnd"/>
      <w:r w:rsidRPr="00653077">
        <w:rPr>
          <w:rFonts w:ascii="Arial" w:hAnsi="Arial" w:cs="Arial"/>
          <w:i/>
          <w:lang w:val="en-US"/>
        </w:rPr>
        <w:t>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 xml:space="preserve">R. </w:t>
      </w:r>
      <w:proofErr w:type="spellStart"/>
      <w:r w:rsidRPr="00653077">
        <w:rPr>
          <w:rFonts w:ascii="Arial" w:hAnsi="Arial" w:cs="Arial"/>
          <w:i/>
          <w:lang w:val="en-US"/>
        </w:rPr>
        <w:t>Uzzo</w:t>
      </w:r>
      <w:proofErr w:type="spellEnd"/>
      <w:r w:rsidRPr="00653077">
        <w:rPr>
          <w:rFonts w:ascii="Arial" w:hAnsi="Arial" w:cs="Arial"/>
          <w:i/>
          <w:lang w:val="en-US"/>
        </w:rPr>
        <w:t>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C.M.C. Ma,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>D. Chen, A. Pollack,</w:t>
      </w:r>
      <w:r w:rsidRPr="00653077">
        <w:rPr>
          <w:rFonts w:ascii="Arial" w:hAnsi="Arial" w:cs="Arial"/>
          <w:i/>
          <w:color w:val="2085C8"/>
          <w:position w:val="10"/>
          <w:lang w:val="en-US"/>
        </w:rPr>
        <w:t xml:space="preserve"> </w:t>
      </w:r>
      <w:r w:rsidRPr="00653077">
        <w:rPr>
          <w:rFonts w:ascii="Arial" w:hAnsi="Arial" w:cs="Arial"/>
          <w:i/>
          <w:lang w:val="en-US"/>
        </w:rPr>
        <w:t xml:space="preserve">and E.M. </w:t>
      </w:r>
      <w:proofErr w:type="spellStart"/>
      <w:r w:rsidRPr="00653077">
        <w:rPr>
          <w:rFonts w:ascii="Arial" w:hAnsi="Arial" w:cs="Arial"/>
          <w:i/>
          <w:lang w:val="en-US"/>
        </w:rPr>
        <w:t>Horwitz</w:t>
      </w:r>
      <w:proofErr w:type="spellEnd"/>
    </w:p>
    <w:p w14:paraId="0B744286" w14:textId="77777777" w:rsid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653077">
        <w:rPr>
          <w:rFonts w:ascii="Arial" w:hAnsi="Arial" w:cs="Arial"/>
          <w:b/>
          <w:lang w:val="en-US"/>
        </w:rPr>
        <w:t>Purpose/Objective(s):</w:t>
      </w:r>
      <w:r w:rsidRPr="00653077">
        <w:rPr>
          <w:rFonts w:ascii="Arial" w:hAnsi="Arial" w:cs="Arial"/>
          <w:lang w:val="en-US"/>
        </w:rPr>
        <w:t xml:space="preserve"> To assess the long-term patient reported outcomes (PRO) from a phase 3 trial comparing conventional (CRT) versus hypo- fractionated (HRT) IMRT in patients with localized prostate cancer. </w:t>
      </w:r>
    </w:p>
    <w:p w14:paraId="0628B62C" w14:textId="77777777" w:rsidR="00653077" w:rsidRP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653077">
        <w:rPr>
          <w:rFonts w:ascii="Arial" w:hAnsi="Arial" w:cs="Arial"/>
          <w:b/>
          <w:lang w:val="en-US"/>
        </w:rPr>
        <w:t>Materials/Methods:</w:t>
      </w:r>
      <w:r w:rsidRPr="00653077">
        <w:rPr>
          <w:rFonts w:ascii="Arial" w:hAnsi="Arial" w:cs="Arial"/>
          <w:lang w:val="en-US"/>
        </w:rPr>
        <w:t xml:space="preserve"> From 2002 and 2006, 303 men with low to high-risk prostate cancer were randomized to 76 </w:t>
      </w:r>
      <w:proofErr w:type="spellStart"/>
      <w:r w:rsidRPr="00653077">
        <w:rPr>
          <w:rFonts w:ascii="Arial" w:hAnsi="Arial" w:cs="Arial"/>
          <w:lang w:val="en-US"/>
        </w:rPr>
        <w:t>Gy</w:t>
      </w:r>
      <w:proofErr w:type="spellEnd"/>
      <w:r w:rsidRPr="00653077">
        <w:rPr>
          <w:rFonts w:ascii="Arial" w:hAnsi="Arial" w:cs="Arial"/>
          <w:lang w:val="en-US"/>
        </w:rPr>
        <w:t xml:space="preserve"> in 38 fractions at 2.0 </w:t>
      </w:r>
      <w:proofErr w:type="spellStart"/>
      <w:r w:rsidRPr="00653077">
        <w:rPr>
          <w:rFonts w:ascii="Arial" w:hAnsi="Arial" w:cs="Arial"/>
          <w:lang w:val="en-US"/>
        </w:rPr>
        <w:t>Gy</w:t>
      </w:r>
      <w:proofErr w:type="spellEnd"/>
      <w:r w:rsidRPr="00653077">
        <w:rPr>
          <w:rFonts w:ascii="Arial" w:hAnsi="Arial" w:cs="Arial"/>
          <w:lang w:val="en-US"/>
        </w:rPr>
        <w:t xml:space="preserve"> per fraction (CRT) versus 70.2 </w:t>
      </w:r>
      <w:proofErr w:type="spellStart"/>
      <w:r w:rsidRPr="00653077">
        <w:rPr>
          <w:rFonts w:ascii="Arial" w:hAnsi="Arial" w:cs="Arial"/>
          <w:lang w:val="en-US"/>
        </w:rPr>
        <w:t>Gy</w:t>
      </w:r>
      <w:proofErr w:type="spellEnd"/>
      <w:r w:rsidRPr="00653077">
        <w:rPr>
          <w:rFonts w:ascii="Arial" w:hAnsi="Arial" w:cs="Arial"/>
          <w:lang w:val="en-US"/>
        </w:rPr>
        <w:t xml:space="preserve"> in 26 fractions at 2.7 </w:t>
      </w:r>
      <w:proofErr w:type="spellStart"/>
      <w:r w:rsidRPr="00653077">
        <w:rPr>
          <w:rFonts w:ascii="Arial" w:hAnsi="Arial" w:cs="Arial"/>
          <w:lang w:val="en-US"/>
        </w:rPr>
        <w:t>Gy</w:t>
      </w:r>
      <w:proofErr w:type="spellEnd"/>
      <w:r w:rsidRPr="00653077">
        <w:rPr>
          <w:rFonts w:ascii="Arial" w:hAnsi="Arial" w:cs="Arial"/>
          <w:lang w:val="en-US"/>
        </w:rPr>
        <w:t xml:space="preserve"> per fraction (HRT). Patient reported outcomes were compared using the Expanded Prostate Cancer Index Composite (EPIC) and International Prostate Symptom Score (IPSS) questionnaires; PRO scores were reported as mean at each time point. Changes from baseline (defined as score &lt;1 month prior to initiation of RT) were compared between treatment arms. Generalized estimating equation models were used to assess the effect of treatment over time. </w:t>
      </w:r>
    </w:p>
    <w:p w14:paraId="62E15EE5" w14:textId="77777777" w:rsidR="00653077" w:rsidRP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653077">
        <w:rPr>
          <w:rFonts w:ascii="Arial" w:hAnsi="Arial" w:cs="Arial"/>
          <w:b/>
          <w:lang w:val="en-US"/>
        </w:rPr>
        <w:t>Results:</w:t>
      </w:r>
      <w:r w:rsidRPr="00653077">
        <w:rPr>
          <w:rFonts w:ascii="Arial" w:hAnsi="Arial" w:cs="Arial"/>
          <w:lang w:val="en-US"/>
        </w:rPr>
        <w:t xml:space="preserve"> The median fo</w:t>
      </w:r>
      <w:r>
        <w:rPr>
          <w:rFonts w:ascii="Arial" w:hAnsi="Arial" w:cs="Arial"/>
          <w:lang w:val="en-US"/>
        </w:rPr>
        <w:t>llow-up was 69 months (range, 7-</w:t>
      </w:r>
      <w:r w:rsidRPr="00653077">
        <w:rPr>
          <w:rFonts w:ascii="Arial" w:hAnsi="Arial" w:cs="Arial"/>
          <w:lang w:val="en-US"/>
        </w:rPr>
        <w:t>136 months). There was no significant difference between the two cohorts in regards to clinical or treatment-related characteristics. There was an initial decrease in all EPIC domains in both treatment arms althou</w:t>
      </w:r>
      <w:r>
        <w:rPr>
          <w:rFonts w:ascii="Arial" w:hAnsi="Arial" w:cs="Arial"/>
          <w:lang w:val="en-US"/>
        </w:rPr>
        <w:t>gh this subsequently stabilized</w:t>
      </w:r>
      <w:r w:rsidRPr="00653077">
        <w:rPr>
          <w:rFonts w:ascii="Arial" w:hAnsi="Arial" w:cs="Arial"/>
          <w:lang w:val="en-US"/>
        </w:rPr>
        <w:t xml:space="preserve">. There was no significant difference in mean score change for the EPIC bowel, sexual, hormonal, or urinary </w:t>
      </w:r>
      <w:proofErr w:type="spellStart"/>
      <w:r w:rsidRPr="00653077">
        <w:rPr>
          <w:rFonts w:ascii="Arial" w:hAnsi="Arial" w:cs="Arial"/>
          <w:lang w:val="en-US"/>
        </w:rPr>
        <w:t>irritative</w:t>
      </w:r>
      <w:proofErr w:type="spellEnd"/>
      <w:r w:rsidRPr="00653077">
        <w:rPr>
          <w:rFonts w:ascii="Arial" w:hAnsi="Arial" w:cs="Arial"/>
          <w:lang w:val="en-US"/>
        </w:rPr>
        <w:t>/ obstructive domains between the two treatment groups. Patients in the HRT arm exhibited larger decrease in score on the EPIC urinary incontinence domain at three years versus th</w:t>
      </w:r>
      <w:r>
        <w:rPr>
          <w:rFonts w:ascii="Arial" w:hAnsi="Arial" w:cs="Arial"/>
          <w:lang w:val="en-US"/>
        </w:rPr>
        <w:t>e CRT arm (-7.2 versus -1.3, P =0</w:t>
      </w:r>
      <w:r w:rsidRPr="00653077">
        <w:rPr>
          <w:rFonts w:ascii="Arial" w:hAnsi="Arial" w:cs="Arial"/>
          <w:lang w:val="en-US"/>
        </w:rPr>
        <w:t>.03) although this improved with further follow-up and was no longer significantly different after 5 years. There was no significant difference in overall IPSS score or quality of life score between the two treatment cohorts. There was a trend towa</w:t>
      </w:r>
      <w:r>
        <w:rPr>
          <w:rFonts w:ascii="Arial" w:hAnsi="Arial" w:cs="Arial"/>
          <w:lang w:val="en-US"/>
        </w:rPr>
        <w:t xml:space="preserve">rds a worse IPSS score at 2 (P = 0.06) and 3 years (P </w:t>
      </w:r>
      <w:r w:rsidR="0083020E">
        <w:rPr>
          <w:rFonts w:ascii="Arial" w:hAnsi="Arial" w:cs="Arial"/>
          <w:lang w:val="en-US"/>
        </w:rPr>
        <w:t>=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0</w:t>
      </w:r>
      <w:r w:rsidRPr="00653077">
        <w:rPr>
          <w:rFonts w:ascii="Arial" w:hAnsi="Arial" w:cs="Arial"/>
          <w:lang w:val="en-US"/>
        </w:rPr>
        <w:t xml:space="preserve">.06) in the HRT group, although this improved with further follow-up. </w:t>
      </w:r>
    </w:p>
    <w:p w14:paraId="7B0257C5" w14:textId="77777777" w:rsidR="00653077" w:rsidRPr="00653077" w:rsidRDefault="00653077" w:rsidP="006530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653077">
        <w:rPr>
          <w:rFonts w:ascii="Arial" w:hAnsi="Arial" w:cs="Arial"/>
          <w:b/>
          <w:lang w:val="en-US"/>
        </w:rPr>
        <w:t>Conclusion:</w:t>
      </w:r>
      <w:r w:rsidRPr="00653077">
        <w:rPr>
          <w:rFonts w:ascii="Arial" w:hAnsi="Arial" w:cs="Arial"/>
          <w:lang w:val="en-US"/>
        </w:rPr>
        <w:t xml:space="preserve"> In this prospective randomized phase 3 </w:t>
      </w:r>
      <w:proofErr w:type="gramStart"/>
      <w:r w:rsidRPr="00653077">
        <w:rPr>
          <w:rFonts w:ascii="Arial" w:hAnsi="Arial" w:cs="Arial"/>
          <w:lang w:val="en-US"/>
        </w:rPr>
        <w:t>study</w:t>
      </w:r>
      <w:proofErr w:type="gramEnd"/>
      <w:r w:rsidRPr="00653077">
        <w:rPr>
          <w:rFonts w:ascii="Arial" w:hAnsi="Arial" w:cs="Arial"/>
          <w:lang w:val="en-US"/>
        </w:rPr>
        <w:t>, PROs were not statistically different with long-term follow-up in patients receiving CRT or HRT for localized prostate cancer. Patients receiving HRT initially appeared to ha</w:t>
      </w:r>
      <w:r>
        <w:rPr>
          <w:rFonts w:ascii="Arial" w:hAnsi="Arial" w:cs="Arial"/>
          <w:lang w:val="en-US"/>
        </w:rPr>
        <w:t>ve worse urinary incontinence 3-</w:t>
      </w:r>
      <w:r w:rsidRPr="00653077">
        <w:rPr>
          <w:rFonts w:ascii="Arial" w:hAnsi="Arial" w:cs="Arial"/>
          <w:lang w:val="en-US"/>
        </w:rPr>
        <w:t xml:space="preserve">4 years after treatment, although this subsequently resolved. </w:t>
      </w:r>
    </w:p>
    <w:p w14:paraId="23EE25F1" w14:textId="77777777" w:rsidR="001F110E" w:rsidRPr="00653077" w:rsidRDefault="001F110E">
      <w:pPr>
        <w:rPr>
          <w:rFonts w:ascii="Arial" w:hAnsi="Arial" w:cs="Arial"/>
        </w:rPr>
      </w:pPr>
    </w:p>
    <w:sectPr w:rsidR="001F110E" w:rsidRPr="00653077" w:rsidSect="006530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77"/>
    <w:rsid w:val="001F110E"/>
    <w:rsid w:val="00653077"/>
    <w:rsid w:val="008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F343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2129</Characters>
  <Application>Microsoft Macintosh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2015-11-28T06:26:00Z</dcterms:created>
  <dcterms:modified xsi:type="dcterms:W3CDTF">2015-11-29T16:23:00Z</dcterms:modified>
</cp:coreProperties>
</file>