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151C89">
        <w:rPr>
          <w:rFonts w:ascii="Times New Roman" w:hAnsi="Times New Roman" w:cs="Times New Roman"/>
          <w:b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Impact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Size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on Long-Term</w:t>
      </w:r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All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-Cause Mortality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I-II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Hodgkin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Lymphoma</w:t>
      </w:r>
      <w:proofErr w:type="spellEnd"/>
      <w:r w:rsidRPr="00151C8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b/>
          <w:szCs w:val="20"/>
        </w:rPr>
        <w:t>Patients</w:t>
      </w:r>
      <w:proofErr w:type="spellEnd"/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1C89">
        <w:rPr>
          <w:rFonts w:ascii="Times New Roman" w:hAnsi="Times New Roman" w:cs="Times New Roman"/>
          <w:sz w:val="20"/>
          <w:szCs w:val="20"/>
        </w:rPr>
        <w:t>C. Patel,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51C89">
        <w:rPr>
          <w:rFonts w:ascii="Times New Roman" w:hAnsi="Times New Roman" w:cs="Times New Roman"/>
          <w:sz w:val="20"/>
          <w:szCs w:val="20"/>
        </w:rPr>
        <w:t xml:space="preserve"> E. Michaelson,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1C89">
        <w:rPr>
          <w:rFonts w:ascii="Times New Roman" w:hAnsi="Times New Roman" w:cs="Times New Roman"/>
          <w:sz w:val="20"/>
          <w:szCs w:val="20"/>
        </w:rPr>
        <w:t xml:space="preserve"> Y.H. Chen,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51C89">
        <w:rPr>
          <w:rFonts w:ascii="Times New Roman" w:hAnsi="Times New Roman" w:cs="Times New Roman"/>
          <w:sz w:val="20"/>
          <w:szCs w:val="20"/>
        </w:rPr>
        <w:t xml:space="preserve"> B.J. Silver,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51C89">
        <w:rPr>
          <w:rFonts w:ascii="Times New Roman" w:hAnsi="Times New Roman" w:cs="Times New Roman"/>
          <w:sz w:val="20"/>
          <w:szCs w:val="20"/>
        </w:rPr>
        <w:t xml:space="preserve"> K.J. Marcus,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1C89">
        <w:rPr>
          <w:rFonts w:ascii="Times New Roman" w:hAnsi="Times New Roman" w:cs="Times New Roman"/>
          <w:sz w:val="20"/>
          <w:szCs w:val="20"/>
        </w:rPr>
        <w:t>M.A. Stevenson,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51C89">
        <w:rPr>
          <w:rFonts w:ascii="Times New Roman" w:hAnsi="Times New Roman" w:cs="Times New Roman"/>
          <w:sz w:val="20"/>
          <w:szCs w:val="20"/>
        </w:rPr>
        <w:t xml:space="preserve"> P.M. Mauch,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51C89">
        <w:rPr>
          <w:rFonts w:ascii="Times New Roman" w:hAnsi="Times New Roman" w:cs="Times New Roman"/>
          <w:sz w:val="20"/>
          <w:szCs w:val="20"/>
        </w:rPr>
        <w:t xml:space="preserve"> and A.K. Ng</w:t>
      </w:r>
      <w:r w:rsidRPr="00151C89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51C89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F110E" w:rsidRPr="00151C89" w:rsidRDefault="00151C89" w:rsidP="00151C8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Vanderbilt University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Nashville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TN,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Brigham and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>, Boston,</w:t>
      </w: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51C89">
        <w:rPr>
          <w:rFonts w:ascii="Times New Roman" w:hAnsi="Times New Roman" w:cs="Times New Roman"/>
          <w:i/>
          <w:sz w:val="20"/>
          <w:szCs w:val="20"/>
        </w:rPr>
        <w:t xml:space="preserve">MA, United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Dana-Farber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Harvard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Brigham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Beth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Israel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Deaconess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Center, Boston, MA, United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States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Harvard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151C89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151C89">
        <w:rPr>
          <w:rFonts w:ascii="Times New Roman" w:hAnsi="Times New Roman" w:cs="Times New Roman"/>
          <w:i/>
          <w:sz w:val="20"/>
          <w:szCs w:val="20"/>
        </w:rPr>
        <w:t xml:space="preserve">Brigham and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Women’s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51C89">
        <w:rPr>
          <w:rFonts w:ascii="Times New Roman" w:hAnsi="Times New Roman" w:cs="Times New Roman"/>
          <w:i/>
          <w:sz w:val="20"/>
          <w:szCs w:val="20"/>
        </w:rPr>
        <w:t>, Boston, MA</w:t>
      </w: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(s):</w:t>
      </w:r>
      <w:r w:rsidRPr="00151C89">
        <w:rPr>
          <w:rFonts w:ascii="Times New Roman" w:hAnsi="Times New Roman" w:cs="Times New Roman"/>
          <w:sz w:val="20"/>
          <w:szCs w:val="20"/>
        </w:rPr>
        <w:t xml:space="preserve"> Prior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second-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risk in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Hodgkin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(HL)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survivors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more limited-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(RT),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reduction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on long-term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(OS) has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analyze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long-term OS by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>.</w:t>
      </w: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:</w:t>
      </w:r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institution</w:t>
      </w:r>
      <w:r>
        <w:rPr>
          <w:rFonts w:ascii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review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board-approved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retro</w:t>
      </w:r>
      <w:r w:rsidRPr="00151C89">
        <w:rPr>
          <w:rFonts w:ascii="Times New Roman" w:hAnsi="Times New Roman" w:cs="Times New Roman"/>
          <w:sz w:val="20"/>
          <w:szCs w:val="20"/>
        </w:rPr>
        <w:t>spective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multi-institutional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database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I and II HL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1967-2007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SAS 9.3 (SAS Institute, Inc., Cary, NC) and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Stata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14 (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StataCorp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LP,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College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Station, TX).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gender,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histology,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sites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B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versus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unfavorable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prognostic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regimen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mediastinal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RT dose.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estimates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log-</w:t>
      </w:r>
      <w:r w:rsidRPr="00151C89">
        <w:rPr>
          <w:rFonts w:ascii="Times New Roman" w:hAnsi="Times New Roman" w:cs="Times New Roman"/>
          <w:sz w:val="20"/>
          <w:szCs w:val="20"/>
        </w:rPr>
        <w:t xml:space="preserve">rank test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test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constructed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estab</w:t>
      </w:r>
      <w:r w:rsidRPr="00151C89">
        <w:rPr>
          <w:rFonts w:ascii="Times New Roman" w:hAnsi="Times New Roman" w:cs="Times New Roman"/>
          <w:sz w:val="20"/>
          <w:szCs w:val="20"/>
        </w:rPr>
        <w:t>lished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>-cause mortality.</w:t>
      </w: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:</w:t>
      </w:r>
      <w:r w:rsidRPr="00151C8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1,541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I and II HL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15.2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35%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having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&gt;20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-up.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10-, 15- and 20-year OS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89%, 83%, and 76%,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percentage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involved-field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(IF) RT in more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year-cohorts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: 1967-1983 (2%), 1983-1993 (3%), and 1994- 2007 (42.2%). On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younger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diagnosis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(P&lt;0.01),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favorable-prognosis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(P&lt;0.01), absence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B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(P Z 0.04),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classical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lymphocyte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predominant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histology (P&lt;0.01) and more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era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(P&lt;0.01)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longer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OS.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mode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restricted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-up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ensure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parity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treatment-era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cohorts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Although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correlated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regimen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fell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adjusting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covariates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, IFRT, as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extended-field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(EF) RT,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-cause mortality,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hazard ratio </w:t>
      </w:r>
      <w:proofErr w:type="spellStart"/>
      <w:r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0.59 (P =</w:t>
      </w:r>
      <w:r w:rsidRPr="00151C89">
        <w:rPr>
          <w:rFonts w:ascii="Times New Roman" w:hAnsi="Times New Roman" w:cs="Times New Roman"/>
          <w:sz w:val="20"/>
          <w:szCs w:val="20"/>
        </w:rPr>
        <w:t xml:space="preserve"> 0.038).</w:t>
      </w:r>
    </w:p>
    <w:p w:rsidR="00151C89" w:rsidRPr="00151C89" w:rsidRDefault="00151C89" w:rsidP="00151C8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151C89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51C89">
        <w:rPr>
          <w:rFonts w:ascii="Times New Roman" w:hAnsi="Times New Roman" w:cs="Times New Roman"/>
          <w:b/>
          <w:sz w:val="20"/>
          <w:szCs w:val="20"/>
        </w:rPr>
        <w:t>:</w:t>
      </w:r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IFRT in early-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Hodgkin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a 41%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reduction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EFRT. These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support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lastRenderedPageBreak/>
        <w:t>efforts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reduce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sites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reduction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selected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1C8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51C89">
        <w:rPr>
          <w:rFonts w:ascii="Times New Roman" w:hAnsi="Times New Roman" w:cs="Times New Roman"/>
          <w:sz w:val="20"/>
          <w:szCs w:val="20"/>
        </w:rPr>
        <w:t>.</w:t>
      </w:r>
    </w:p>
    <w:sectPr w:rsidR="00151C89" w:rsidRPr="00151C89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89"/>
    <w:rsid w:val="00151C89"/>
    <w:rsid w:val="001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2755</Characters>
  <Application>Microsoft Macintosh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2017-10-26T07:19:00Z</dcterms:created>
  <dcterms:modified xsi:type="dcterms:W3CDTF">2017-10-26T07:23:00Z</dcterms:modified>
</cp:coreProperties>
</file>