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2F" w:rsidRPr="00703C2F" w:rsidRDefault="00703C2F" w:rsidP="00703C2F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703C2F">
        <w:rPr>
          <w:rFonts w:ascii="Times New Roman" w:hAnsi="Times New Roman" w:cs="Times New Roman"/>
          <w:b/>
        </w:rPr>
        <w:t>The</w:t>
      </w:r>
      <w:proofErr w:type="spellEnd"/>
      <w:r w:rsidRPr="00703C2F">
        <w:rPr>
          <w:rFonts w:ascii="Times New Roman" w:hAnsi="Times New Roman" w:cs="Times New Roman"/>
          <w:b/>
        </w:rPr>
        <w:t xml:space="preserve"> International </w:t>
      </w:r>
      <w:proofErr w:type="spellStart"/>
      <w:r w:rsidRPr="00703C2F">
        <w:rPr>
          <w:rFonts w:ascii="Times New Roman" w:hAnsi="Times New Roman" w:cs="Times New Roman"/>
          <w:b/>
        </w:rPr>
        <w:t>Atomic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Energy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Agency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Randomized</w:t>
      </w:r>
      <w:proofErr w:type="spellEnd"/>
      <w:r w:rsidRPr="00703C2F">
        <w:rPr>
          <w:rFonts w:ascii="Times New Roman" w:hAnsi="Times New Roman" w:cs="Times New Roman"/>
          <w:b/>
        </w:rPr>
        <w:t xml:space="preserve"> Trial on </w:t>
      </w:r>
      <w:proofErr w:type="spellStart"/>
      <w:r w:rsidRPr="00703C2F">
        <w:rPr>
          <w:rFonts w:ascii="Times New Roman" w:hAnsi="Times New Roman" w:cs="Times New Roman"/>
          <w:b/>
        </w:rPr>
        <w:t>Chemotherapy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With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or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Without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Radiation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Therapy</w:t>
      </w:r>
      <w:proofErr w:type="spellEnd"/>
      <w:r w:rsidRPr="00703C2F">
        <w:rPr>
          <w:rFonts w:ascii="Times New Roman" w:hAnsi="Times New Roman" w:cs="Times New Roman"/>
          <w:b/>
        </w:rPr>
        <w:t xml:space="preserve"> in </w:t>
      </w:r>
      <w:proofErr w:type="spellStart"/>
      <w:r w:rsidRPr="00703C2F">
        <w:rPr>
          <w:rFonts w:ascii="Times New Roman" w:hAnsi="Times New Roman" w:cs="Times New Roman"/>
          <w:b/>
        </w:rPr>
        <w:t>Advanced</w:t>
      </w:r>
      <w:proofErr w:type="spellEnd"/>
      <w:r w:rsidRPr="00703C2F">
        <w:rPr>
          <w:rFonts w:ascii="Times New Roman" w:hAnsi="Times New Roman" w:cs="Times New Roman"/>
          <w:b/>
        </w:rPr>
        <w:t xml:space="preserve"> Non-</w:t>
      </w:r>
      <w:proofErr w:type="spellStart"/>
      <w:r w:rsidRPr="00703C2F">
        <w:rPr>
          <w:rFonts w:ascii="Times New Roman" w:hAnsi="Times New Roman" w:cs="Times New Roman"/>
          <w:b/>
        </w:rPr>
        <w:t>small</w:t>
      </w:r>
      <w:proofErr w:type="spellEnd"/>
      <w:r w:rsidRPr="00703C2F">
        <w:rPr>
          <w:rFonts w:ascii="Times New Roman" w:hAnsi="Times New Roman" w:cs="Times New Roman"/>
          <w:b/>
        </w:rPr>
        <w:t xml:space="preserve"> Cell </w:t>
      </w:r>
      <w:proofErr w:type="spellStart"/>
      <w:r w:rsidRPr="00703C2F">
        <w:rPr>
          <w:rFonts w:ascii="Times New Roman" w:hAnsi="Times New Roman" w:cs="Times New Roman"/>
          <w:b/>
        </w:rPr>
        <w:t>Lung</w:t>
      </w:r>
      <w:proofErr w:type="spellEnd"/>
      <w:r w:rsidRPr="00703C2F">
        <w:rPr>
          <w:rFonts w:ascii="Times New Roman" w:hAnsi="Times New Roman" w:cs="Times New Roman"/>
          <w:b/>
        </w:rPr>
        <w:t xml:space="preserve"> </w:t>
      </w:r>
      <w:proofErr w:type="spellStart"/>
      <w:r w:rsidRPr="00703C2F">
        <w:rPr>
          <w:rFonts w:ascii="Times New Roman" w:hAnsi="Times New Roman" w:cs="Times New Roman"/>
          <w:b/>
        </w:rPr>
        <w:t>Cancer</w:t>
      </w:r>
      <w:proofErr w:type="spellEnd"/>
      <w:r w:rsidRPr="00703C2F">
        <w:rPr>
          <w:rFonts w:ascii="Times New Roman" w:hAnsi="Times New Roman" w:cs="Times New Roman"/>
          <w:b/>
        </w:rPr>
        <w:t xml:space="preserve"> (NCT00864331)</w:t>
      </w:r>
    </w:p>
    <w:p w:rsidR="00703C2F" w:rsidRDefault="00703C2F" w:rsidP="00703C2F">
      <w:pPr>
        <w:rPr>
          <w:rFonts w:ascii="Times New Roman" w:hAnsi="Times New Roman" w:cs="Times New Roman"/>
          <w:sz w:val="20"/>
          <w:szCs w:val="20"/>
        </w:rPr>
      </w:pPr>
    </w:p>
    <w:p w:rsidR="00703C2F" w:rsidRDefault="00703C2F" w:rsidP="00703C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3C2F">
        <w:rPr>
          <w:rFonts w:ascii="Times New Roman" w:hAnsi="Times New Roman" w:cs="Times New Roman"/>
          <w:sz w:val="20"/>
          <w:szCs w:val="20"/>
        </w:rPr>
        <w:t>B. Jeremic,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03C2F">
        <w:rPr>
          <w:rFonts w:ascii="Times New Roman" w:hAnsi="Times New Roman" w:cs="Times New Roman"/>
          <w:sz w:val="20"/>
          <w:szCs w:val="20"/>
        </w:rPr>
        <w:t xml:space="preserve"> S. Ghosh,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03C2F">
        <w:rPr>
          <w:rFonts w:ascii="Times New Roman" w:hAnsi="Times New Roman" w:cs="Times New Roman"/>
          <w:sz w:val="20"/>
          <w:szCs w:val="20"/>
        </w:rPr>
        <w:t xml:space="preserve"> E. Fidarova,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703C2F">
        <w:rPr>
          <w:rFonts w:ascii="Times New Roman" w:hAnsi="Times New Roman" w:cs="Times New Roman"/>
          <w:sz w:val="20"/>
          <w:szCs w:val="20"/>
        </w:rPr>
        <w:t>M. Faheem,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703C2F">
        <w:rPr>
          <w:rFonts w:ascii="Times New Roman" w:hAnsi="Times New Roman" w:cs="Times New Roman"/>
          <w:sz w:val="20"/>
          <w:szCs w:val="20"/>
        </w:rPr>
        <w:t xml:space="preserve"> J.P. Agarwal,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703C2F">
        <w:rPr>
          <w:rFonts w:ascii="Times New Roman" w:hAnsi="Times New Roman" w:cs="Times New Roman"/>
          <w:sz w:val="20"/>
          <w:szCs w:val="20"/>
        </w:rPr>
        <w:t xml:space="preserve"> F.N. Lau,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703C2F">
        <w:rPr>
          <w:rFonts w:ascii="Times New Roman" w:hAnsi="Times New Roman" w:cs="Times New Roman"/>
          <w:sz w:val="20"/>
          <w:szCs w:val="20"/>
        </w:rPr>
        <w:t xml:space="preserve"> V. Sharma,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703C2F">
        <w:rPr>
          <w:rFonts w:ascii="Times New Roman" w:hAnsi="Times New Roman" w:cs="Times New Roman"/>
          <w:sz w:val="20"/>
          <w:szCs w:val="20"/>
        </w:rPr>
        <w:t xml:space="preserve"> C. Ammar,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703C2F">
        <w:rPr>
          <w:rFonts w:ascii="Times New Roman" w:hAnsi="Times New Roman" w:cs="Times New Roman"/>
          <w:sz w:val="20"/>
          <w:szCs w:val="20"/>
        </w:rPr>
        <w:t xml:space="preserve"> A. Azmy,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703C2F">
        <w:rPr>
          <w:rFonts w:ascii="Times New Roman" w:hAnsi="Times New Roman" w:cs="Times New Roman"/>
          <w:sz w:val="20"/>
          <w:szCs w:val="20"/>
        </w:rPr>
        <w:t xml:space="preserve"> A. Forbe,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03C2F">
        <w:rPr>
          <w:rFonts w:ascii="Times New Roman" w:hAnsi="Times New Roman" w:cs="Times New Roman"/>
          <w:sz w:val="20"/>
          <w:szCs w:val="20"/>
        </w:rPr>
        <w:t>and S. Brincat</w:t>
      </w:r>
      <w:r w:rsidRPr="00703C2F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703C2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03C2F" w:rsidRDefault="00703C2F" w:rsidP="00703C2F">
      <w:pPr>
        <w:rPr>
          <w:rFonts w:ascii="Times New Roman" w:hAnsi="Times New Roman" w:cs="Times New Roman"/>
          <w:sz w:val="20"/>
          <w:szCs w:val="20"/>
        </w:rPr>
      </w:pPr>
    </w:p>
    <w:p w:rsidR="00703C2F" w:rsidRPr="00703C2F" w:rsidRDefault="00703C2F" w:rsidP="00703C2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Institute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Lung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Diseases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Sremska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Kamenica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BioIRC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Centre, Kragujevac,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Serbia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Division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Experimental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Cross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Institute,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Edmonton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AB,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International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Atomic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Energy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Agency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Vienna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Austria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Nuclear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Radiotherapy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Institute,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Islamabad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Pakistan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Tata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Memorial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Centre,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Mumbai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India,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General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Kuala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Lumpur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Malaysia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703C2F">
        <w:rPr>
          <w:rFonts w:ascii="Times New Roman" w:hAnsi="Times New Roman" w:cs="Times New Roman"/>
          <w:i/>
          <w:sz w:val="20"/>
          <w:szCs w:val="20"/>
        </w:rPr>
        <w:t>Department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Charlotte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Maxeke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Johannesburg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Academic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Witwatersrand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Johannesburg,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South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Africa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Institut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National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Salah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Azaiz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Tunis,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Tunisia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Misr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Centre,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Cairo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Egypt,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Sestre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Milosrdnice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Zagreb,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Croatia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C2F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703C2F">
        <w:rPr>
          <w:rFonts w:ascii="Times New Roman" w:hAnsi="Times New Roman" w:cs="Times New Roman"/>
          <w:i/>
          <w:sz w:val="20"/>
          <w:szCs w:val="20"/>
        </w:rPr>
        <w:t xml:space="preserve">Sir Paul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Boffa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 xml:space="preserve">, La </w:t>
      </w:r>
      <w:proofErr w:type="spellStart"/>
      <w:r w:rsidRPr="00703C2F">
        <w:rPr>
          <w:rFonts w:ascii="Times New Roman" w:hAnsi="Times New Roman" w:cs="Times New Roman"/>
          <w:i/>
          <w:sz w:val="20"/>
          <w:szCs w:val="20"/>
        </w:rPr>
        <w:t>Valetta</w:t>
      </w:r>
      <w:proofErr w:type="spellEnd"/>
      <w:r w:rsidRPr="00703C2F">
        <w:rPr>
          <w:rFonts w:ascii="Times New Roman" w:hAnsi="Times New Roman" w:cs="Times New Roman"/>
          <w:i/>
          <w:sz w:val="20"/>
          <w:szCs w:val="20"/>
        </w:rPr>
        <w:t>, Malta</w:t>
      </w:r>
    </w:p>
    <w:p w:rsidR="00703C2F" w:rsidRPr="00703C2F" w:rsidRDefault="00703C2F" w:rsidP="00703C2F">
      <w:pPr>
        <w:rPr>
          <w:rFonts w:ascii="Times New Roman" w:hAnsi="Times New Roman" w:cs="Times New Roman"/>
          <w:sz w:val="20"/>
          <w:szCs w:val="20"/>
        </w:rPr>
      </w:pPr>
    </w:p>
    <w:p w:rsidR="00703C2F" w:rsidRDefault="00703C2F" w:rsidP="00703C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C2F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703C2F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703C2F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703C2F">
        <w:rPr>
          <w:rFonts w:ascii="Times New Roman" w:hAnsi="Times New Roman" w:cs="Times New Roman"/>
          <w:b/>
          <w:sz w:val="20"/>
          <w:szCs w:val="20"/>
        </w:rPr>
        <w:t>(s):</w:t>
      </w:r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(CHT)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IIIB/IV) non-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cell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lung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(NSCLC),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(RT)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frequently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palliation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setting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optimize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CHT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RT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International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Atomic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Agency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(IAEA)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III trial (NCT00864331).</w:t>
      </w:r>
    </w:p>
    <w:p w:rsidR="00703C2F" w:rsidRPr="00703C2F" w:rsidRDefault="00703C2F" w:rsidP="00703C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C2F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703C2F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703C2F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703C2F">
        <w:rPr>
          <w:rFonts w:ascii="Times New Roman" w:hAnsi="Times New Roman" w:cs="Times New Roman"/>
          <w:b/>
          <w:sz w:val="20"/>
          <w:szCs w:val="20"/>
        </w:rPr>
        <w:t>:</w:t>
      </w:r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A) up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cycles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platinum-based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CHT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B)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-dose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hypofractionated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RT (10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/1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fraction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16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/2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fraction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week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split)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CHT as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Megavoltage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equipment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minimal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nominal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1.25 MV, SSD,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SAD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least 80 cm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. RT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planning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perfo</w:t>
      </w:r>
      <w:r>
        <w:rPr>
          <w:rFonts w:ascii="Times New Roman" w:hAnsi="Times New Roman" w:cs="Times New Roman"/>
          <w:sz w:val="20"/>
          <w:szCs w:val="20"/>
        </w:rPr>
        <w:t>rmed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conventional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fluoro</w:t>
      </w:r>
      <w:r w:rsidRPr="00703C2F">
        <w:rPr>
          <w:rFonts w:ascii="Times New Roman" w:hAnsi="Times New Roman" w:cs="Times New Roman"/>
          <w:sz w:val="20"/>
          <w:szCs w:val="20"/>
        </w:rPr>
        <w:t>scopic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CT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simulator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encompass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tumor and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abnormal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lymph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nodes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margin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2 cm. RT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not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exceed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equivalent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200 cm2.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Choice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drugs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drug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dose,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fre</w:t>
      </w:r>
      <w:r w:rsidRPr="00703C2F">
        <w:rPr>
          <w:rFonts w:ascii="Times New Roman" w:hAnsi="Times New Roman" w:cs="Times New Roman"/>
          <w:sz w:val="20"/>
          <w:szCs w:val="20"/>
        </w:rPr>
        <w:t>quency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administration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left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alignm</w:t>
      </w:r>
      <w:r>
        <w:rPr>
          <w:rFonts w:ascii="Times New Roman" w:hAnsi="Times New Roman" w:cs="Times New Roman"/>
          <w:sz w:val="20"/>
          <w:szCs w:val="20"/>
        </w:rPr>
        <w:t>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participating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</w:t>
      </w:r>
      <w:r w:rsidRPr="00703C2F">
        <w:rPr>
          <w:rFonts w:ascii="Times New Roman" w:hAnsi="Times New Roman" w:cs="Times New Roman"/>
          <w:sz w:val="20"/>
          <w:szCs w:val="20"/>
        </w:rPr>
        <w:t>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policies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side-effects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health-related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quality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(HR QOL),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latter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subject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separate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>.</w:t>
      </w:r>
    </w:p>
    <w:p w:rsidR="00703C2F" w:rsidRPr="00703C2F" w:rsidRDefault="00703C2F" w:rsidP="00703C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C2F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703C2F">
        <w:rPr>
          <w:rFonts w:ascii="Times New Roman" w:hAnsi="Times New Roman" w:cs="Times New Roman"/>
          <w:b/>
          <w:sz w:val="20"/>
          <w:szCs w:val="20"/>
        </w:rPr>
        <w:t>:</w:t>
      </w:r>
      <w:r w:rsidRPr="00703C2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185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pati</w:t>
      </w:r>
      <w:r>
        <w:rPr>
          <w:rFonts w:ascii="Times New Roman" w:hAnsi="Times New Roman" w:cs="Times New Roman"/>
          <w:sz w:val="20"/>
          <w:szCs w:val="20"/>
        </w:rPr>
        <w:t>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Arm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n = 94; </w:t>
      </w:r>
      <w:proofErr w:type="spellStart"/>
      <w:r>
        <w:rPr>
          <w:rFonts w:ascii="Times New Roman" w:hAnsi="Times New Roman" w:cs="Times New Roman"/>
          <w:sz w:val="20"/>
          <w:szCs w:val="20"/>
        </w:rPr>
        <w:t>Arm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B, n =</w:t>
      </w:r>
      <w:r w:rsidRPr="00703C2F">
        <w:rPr>
          <w:rFonts w:ascii="Times New Roman" w:hAnsi="Times New Roman" w:cs="Times New Roman"/>
          <w:sz w:val="20"/>
          <w:szCs w:val="20"/>
        </w:rPr>
        <w:t xml:space="preserve"> 91).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intention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>-to-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treat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(ITT)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hAnsi="Times New Roman" w:cs="Times New Roman"/>
          <w:sz w:val="20"/>
          <w:szCs w:val="20"/>
        </w:rPr>
        <w:t>differ</w:t>
      </w:r>
      <w:r w:rsidRPr="00703C2F">
        <w:rPr>
          <w:rFonts w:ascii="Times New Roman" w:hAnsi="Times New Roman" w:cs="Times New Roman"/>
          <w:sz w:val="20"/>
          <w:szCs w:val="20"/>
        </w:rPr>
        <w:t>ence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(MST)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6.47 vs. 5.78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1- and 2-year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32.6% and 15.6% vs. 1</w:t>
      </w:r>
      <w:r>
        <w:rPr>
          <w:rFonts w:ascii="Times New Roman" w:hAnsi="Times New Roman" w:cs="Times New Roman"/>
          <w:sz w:val="20"/>
          <w:szCs w:val="20"/>
        </w:rPr>
        <w:t xml:space="preserve">8.5% and 6.1%,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 =</w:t>
      </w:r>
      <w:r w:rsidRPr="00703C2F">
        <w:rPr>
          <w:rFonts w:ascii="Times New Roman" w:hAnsi="Times New Roman" w:cs="Times New Roman"/>
          <w:sz w:val="20"/>
          <w:szCs w:val="20"/>
        </w:rPr>
        <w:t xml:space="preserve"> 0.13).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loco-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4.3 vs. 5.2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1- and 2-year loco-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20.0% and 8.6% vs. 1</w:t>
      </w:r>
      <w:r>
        <w:rPr>
          <w:rFonts w:ascii="Times New Roman" w:hAnsi="Times New Roman" w:cs="Times New Roman"/>
          <w:sz w:val="20"/>
          <w:szCs w:val="20"/>
        </w:rPr>
        <w:t xml:space="preserve">1.7% and 2.7%,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 =</w:t>
      </w:r>
      <w:r w:rsidRPr="00703C2F">
        <w:rPr>
          <w:rFonts w:ascii="Times New Roman" w:hAnsi="Times New Roman" w:cs="Times New Roman"/>
          <w:sz w:val="20"/>
          <w:szCs w:val="20"/>
        </w:rPr>
        <w:t xml:space="preserve"> 0.52).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5.0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vs. 5.2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1-year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surviva</w:t>
      </w:r>
      <w:r>
        <w:rPr>
          <w:rFonts w:ascii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15.6% vs. 5.3% (P =</w:t>
      </w:r>
      <w:r w:rsidRPr="00703C2F">
        <w:rPr>
          <w:rFonts w:ascii="Times New Roman" w:hAnsi="Times New Roman" w:cs="Times New Roman"/>
          <w:sz w:val="20"/>
          <w:szCs w:val="20"/>
        </w:rPr>
        <w:t xml:space="preserve"> 0.17).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>-grade (&gt;3) CHT- and RT-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toxicity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infrequent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>.</w:t>
      </w:r>
    </w:p>
    <w:p w:rsidR="00703C2F" w:rsidRPr="00703C2F" w:rsidRDefault="00703C2F" w:rsidP="00703C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703C2F">
        <w:rPr>
          <w:rFonts w:ascii="Times New Roman" w:hAnsi="Times New Roman" w:cs="Times New Roman"/>
          <w:b/>
          <w:sz w:val="20"/>
          <w:szCs w:val="20"/>
        </w:rPr>
        <w:lastRenderedPageBreak/>
        <w:t>Conclusion</w:t>
      </w:r>
      <w:proofErr w:type="spellEnd"/>
      <w:r w:rsidRPr="00703C2F">
        <w:rPr>
          <w:rFonts w:ascii="Times New Roman" w:hAnsi="Times New Roman" w:cs="Times New Roman"/>
          <w:b/>
          <w:sz w:val="20"/>
          <w:szCs w:val="20"/>
        </w:rPr>
        <w:t>:</w:t>
      </w:r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failed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show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palliative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thoracic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RT on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NSCLC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CHT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beforehand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toxicity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testing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question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take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account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novel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drugs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and more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aggressive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attempting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optimize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C2F">
        <w:rPr>
          <w:rFonts w:ascii="Times New Roman" w:hAnsi="Times New Roman" w:cs="Times New Roman"/>
          <w:sz w:val="20"/>
          <w:szCs w:val="20"/>
        </w:rPr>
        <w:t>setting</w:t>
      </w:r>
      <w:proofErr w:type="spellEnd"/>
      <w:r w:rsidRPr="00703C2F">
        <w:rPr>
          <w:rFonts w:ascii="Times New Roman" w:hAnsi="Times New Roman" w:cs="Times New Roman"/>
          <w:sz w:val="20"/>
          <w:szCs w:val="20"/>
        </w:rPr>
        <w:t>.</w:t>
      </w:r>
    </w:p>
    <w:sectPr w:rsidR="00703C2F" w:rsidRPr="00703C2F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2F"/>
    <w:rsid w:val="001F110E"/>
    <w:rsid w:val="0070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2017-10-25T06:43:00Z</dcterms:created>
  <dcterms:modified xsi:type="dcterms:W3CDTF">2017-10-25T06:53:00Z</dcterms:modified>
</cp:coreProperties>
</file>