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EDADF" w14:textId="77777777" w:rsidR="00D9612D" w:rsidRPr="00D9612D" w:rsidRDefault="00D9612D" w:rsidP="00D9612D">
      <w:pPr>
        <w:widowControl w:val="0"/>
        <w:autoSpaceDE w:val="0"/>
        <w:autoSpaceDN w:val="0"/>
        <w:adjustRightInd w:val="0"/>
        <w:spacing w:after="240"/>
        <w:rPr>
          <w:rFonts w:ascii="Arial" w:hAnsi="Arial" w:cs="Arial"/>
          <w:b/>
          <w:sz w:val="28"/>
          <w:szCs w:val="22"/>
          <w:lang w:val="en-US"/>
        </w:rPr>
      </w:pPr>
      <w:bookmarkStart w:id="0" w:name="_GoBack"/>
      <w:r w:rsidRPr="00281DBB">
        <w:rPr>
          <w:rFonts w:ascii="Arial" w:hAnsi="Arial" w:cs="Arial"/>
          <w:b/>
          <w:sz w:val="32"/>
          <w:szCs w:val="22"/>
          <w:lang w:val="en-US"/>
        </w:rPr>
        <w:t xml:space="preserve">Comparison of 3-D Conformal and Intensity Modulated Radiation Therapy Outcomes for Locally Advanced Non-Small Cell Lung Cancer in NRG </w:t>
      </w:r>
      <w:proofErr w:type="spellStart"/>
      <w:r w:rsidRPr="00281DBB">
        <w:rPr>
          <w:rFonts w:ascii="Arial" w:hAnsi="Arial" w:cs="Arial"/>
          <w:b/>
          <w:sz w:val="32"/>
          <w:szCs w:val="22"/>
          <w:lang w:val="en-US"/>
        </w:rPr>
        <w:t>Oncology</w:t>
      </w:r>
      <w:r w:rsidRPr="00281DBB">
        <w:rPr>
          <w:rFonts w:ascii="Arial" w:hAnsi="Arial" w:cs="Arial"/>
          <w:b/>
          <w:sz w:val="32"/>
          <w:szCs w:val="22"/>
          <w:lang w:val="en-US"/>
        </w:rPr>
        <w:t>_</w:t>
      </w:r>
      <w:r w:rsidRPr="00281DBB">
        <w:rPr>
          <w:rFonts w:ascii="Arial" w:hAnsi="Arial" w:cs="Arial"/>
          <w:b/>
          <w:sz w:val="32"/>
          <w:szCs w:val="22"/>
          <w:lang w:val="en-US"/>
        </w:rPr>
        <w:t>RTOG</w:t>
      </w:r>
      <w:proofErr w:type="spellEnd"/>
      <w:r w:rsidRPr="00281DBB">
        <w:rPr>
          <w:rFonts w:ascii="Arial" w:hAnsi="Arial" w:cs="Arial"/>
          <w:b/>
          <w:sz w:val="32"/>
          <w:szCs w:val="22"/>
          <w:lang w:val="en-US"/>
        </w:rPr>
        <w:t xml:space="preserve"> 0617</w:t>
      </w:r>
      <w:bookmarkEnd w:id="0"/>
      <w:r w:rsidRPr="00D9612D">
        <w:rPr>
          <w:rFonts w:ascii="Arial" w:hAnsi="Arial" w:cs="Arial"/>
          <w:b/>
          <w:sz w:val="28"/>
          <w:szCs w:val="22"/>
          <w:lang w:val="en-US"/>
        </w:rPr>
        <w:t> </w:t>
      </w:r>
    </w:p>
    <w:p w14:paraId="714F4DDD" w14:textId="77777777" w:rsidR="00D9612D" w:rsidRDefault="00D9612D" w:rsidP="00D9612D">
      <w:pPr>
        <w:widowControl w:val="0"/>
        <w:autoSpaceDE w:val="0"/>
        <w:autoSpaceDN w:val="0"/>
        <w:adjustRightInd w:val="0"/>
        <w:spacing w:after="240"/>
        <w:rPr>
          <w:rFonts w:ascii="Arial" w:hAnsi="Arial" w:cs="Arial"/>
          <w:i/>
          <w:lang w:val="en-US"/>
        </w:rPr>
      </w:pPr>
    </w:p>
    <w:p w14:paraId="0A6B019D" w14:textId="77777777" w:rsidR="00D9612D" w:rsidRPr="00D9612D" w:rsidRDefault="00D9612D" w:rsidP="00D9612D">
      <w:pPr>
        <w:widowControl w:val="0"/>
        <w:autoSpaceDE w:val="0"/>
        <w:autoSpaceDN w:val="0"/>
        <w:adjustRightInd w:val="0"/>
        <w:spacing w:after="240"/>
        <w:rPr>
          <w:rFonts w:ascii="Arial" w:hAnsi="Arial" w:cs="Arial"/>
          <w:i/>
          <w:lang w:val="en-US"/>
        </w:rPr>
      </w:pPr>
      <w:r w:rsidRPr="00D9612D">
        <w:rPr>
          <w:rFonts w:ascii="Arial" w:hAnsi="Arial" w:cs="Arial"/>
          <w:i/>
          <w:lang w:val="en-US"/>
        </w:rPr>
        <w:t>S.G. Chun,</w:t>
      </w:r>
      <w:r w:rsidRPr="00D9612D">
        <w:rPr>
          <w:rFonts w:ascii="Arial" w:hAnsi="Arial" w:cs="Arial"/>
          <w:i/>
          <w:color w:val="2085C8"/>
          <w:position w:val="10"/>
          <w:lang w:val="en-US"/>
        </w:rPr>
        <w:t xml:space="preserve"> </w:t>
      </w:r>
      <w:r w:rsidRPr="00D9612D">
        <w:rPr>
          <w:rFonts w:ascii="Arial" w:hAnsi="Arial" w:cs="Arial"/>
          <w:i/>
          <w:lang w:val="en-US"/>
        </w:rPr>
        <w:t>C. Hu,</w:t>
      </w:r>
      <w:r w:rsidRPr="00D9612D">
        <w:rPr>
          <w:rFonts w:ascii="Arial" w:hAnsi="Arial" w:cs="Arial"/>
          <w:i/>
          <w:color w:val="2085C8"/>
          <w:position w:val="10"/>
          <w:lang w:val="en-US"/>
        </w:rPr>
        <w:t xml:space="preserve"> </w:t>
      </w:r>
      <w:r w:rsidRPr="00D9612D">
        <w:rPr>
          <w:rFonts w:ascii="Arial" w:hAnsi="Arial" w:cs="Arial"/>
          <w:i/>
          <w:lang w:val="en-US"/>
        </w:rPr>
        <w:t>H. Choy,</w:t>
      </w:r>
      <w:r w:rsidRPr="00D9612D">
        <w:rPr>
          <w:rFonts w:ascii="Arial" w:hAnsi="Arial" w:cs="Arial"/>
          <w:i/>
          <w:color w:val="2085C8"/>
          <w:position w:val="10"/>
          <w:lang w:val="en-US"/>
        </w:rPr>
        <w:t xml:space="preserve"> </w:t>
      </w:r>
      <w:r w:rsidRPr="00D9612D">
        <w:rPr>
          <w:rFonts w:ascii="Arial" w:hAnsi="Arial" w:cs="Arial"/>
          <w:i/>
          <w:lang w:val="en-US"/>
        </w:rPr>
        <w:t>R.U. Komaki,</w:t>
      </w:r>
      <w:r w:rsidRPr="00D9612D">
        <w:rPr>
          <w:rFonts w:ascii="Arial" w:hAnsi="Arial" w:cs="Arial"/>
          <w:i/>
          <w:color w:val="2085C8"/>
          <w:position w:val="10"/>
          <w:lang w:val="en-US"/>
        </w:rPr>
        <w:t xml:space="preserve"> </w:t>
      </w:r>
      <w:r w:rsidRPr="00D9612D">
        <w:rPr>
          <w:rFonts w:ascii="Arial" w:hAnsi="Arial" w:cs="Arial"/>
          <w:i/>
          <w:lang w:val="en-US"/>
        </w:rPr>
        <w:t>R.D. Timmerman</w:t>
      </w:r>
      <w:proofErr w:type="gramStart"/>
      <w:r w:rsidRPr="00D9612D">
        <w:rPr>
          <w:rFonts w:ascii="Arial" w:hAnsi="Arial" w:cs="Arial"/>
          <w:i/>
          <w:lang w:val="en-US"/>
        </w:rPr>
        <w:t>,</w:t>
      </w:r>
      <w:r w:rsidRPr="00D9612D">
        <w:rPr>
          <w:rFonts w:ascii="Arial" w:hAnsi="Arial" w:cs="Arial"/>
          <w:i/>
          <w:color w:val="2085C8"/>
          <w:lang w:val="en-US"/>
        </w:rPr>
        <w:t> </w:t>
      </w:r>
      <w:proofErr w:type="gramEnd"/>
      <w:r w:rsidRPr="00D9612D">
        <w:rPr>
          <w:rFonts w:ascii="Arial" w:hAnsi="Arial" w:cs="Arial"/>
          <w:i/>
          <w:lang w:val="en-US"/>
        </w:rPr>
        <w:t xml:space="preserve">S.E. </w:t>
      </w:r>
      <w:proofErr w:type="spellStart"/>
      <w:r w:rsidRPr="00D9612D">
        <w:rPr>
          <w:rFonts w:ascii="Arial" w:hAnsi="Arial" w:cs="Arial"/>
          <w:i/>
          <w:lang w:val="en-US"/>
        </w:rPr>
        <w:t>Schild</w:t>
      </w:r>
      <w:proofErr w:type="spellEnd"/>
      <w:r w:rsidRPr="00D9612D">
        <w:rPr>
          <w:rFonts w:ascii="Arial" w:hAnsi="Arial" w:cs="Arial"/>
          <w:i/>
          <w:lang w:val="en-US"/>
        </w:rPr>
        <w:t>,</w:t>
      </w:r>
      <w:r w:rsidRPr="00D9612D">
        <w:rPr>
          <w:rFonts w:ascii="Arial" w:hAnsi="Arial" w:cs="Arial"/>
          <w:i/>
          <w:color w:val="2085C8"/>
          <w:position w:val="10"/>
          <w:lang w:val="en-US"/>
        </w:rPr>
        <w:t xml:space="preserve"> </w:t>
      </w:r>
      <w:r w:rsidRPr="00D9612D">
        <w:rPr>
          <w:rFonts w:ascii="Arial" w:hAnsi="Arial" w:cs="Arial"/>
          <w:i/>
          <w:lang w:val="en-US"/>
        </w:rPr>
        <w:t>J.A. Bogart,</w:t>
      </w:r>
      <w:r w:rsidRPr="00D9612D">
        <w:rPr>
          <w:rFonts w:ascii="Arial" w:hAnsi="Arial" w:cs="Arial"/>
          <w:i/>
          <w:color w:val="2085C8"/>
          <w:position w:val="10"/>
          <w:lang w:val="en-US"/>
        </w:rPr>
        <w:t xml:space="preserve"> </w:t>
      </w:r>
      <w:r w:rsidRPr="00D9612D">
        <w:rPr>
          <w:rFonts w:ascii="Arial" w:hAnsi="Arial" w:cs="Arial"/>
          <w:i/>
          <w:lang w:val="en-US"/>
        </w:rPr>
        <w:t xml:space="preserve">M.C. </w:t>
      </w:r>
      <w:proofErr w:type="spellStart"/>
      <w:r w:rsidRPr="00D9612D">
        <w:rPr>
          <w:rFonts w:ascii="Arial" w:hAnsi="Arial" w:cs="Arial"/>
          <w:i/>
          <w:lang w:val="en-US"/>
        </w:rPr>
        <w:t>Dobelbower</w:t>
      </w:r>
      <w:proofErr w:type="spellEnd"/>
      <w:r w:rsidRPr="00D9612D">
        <w:rPr>
          <w:rFonts w:ascii="Arial" w:hAnsi="Arial" w:cs="Arial"/>
          <w:i/>
          <w:lang w:val="en-US"/>
        </w:rPr>
        <w:t>,</w:t>
      </w:r>
      <w:r w:rsidRPr="00D9612D">
        <w:rPr>
          <w:rFonts w:ascii="Arial" w:hAnsi="Arial" w:cs="Arial"/>
          <w:i/>
          <w:color w:val="2085C8"/>
          <w:position w:val="10"/>
          <w:lang w:val="en-US"/>
        </w:rPr>
        <w:t xml:space="preserve"> </w:t>
      </w:r>
      <w:r w:rsidRPr="00D9612D">
        <w:rPr>
          <w:rFonts w:ascii="Arial" w:hAnsi="Arial" w:cs="Arial"/>
          <w:i/>
          <w:lang w:val="en-US"/>
        </w:rPr>
        <w:t>W.R. Bosch,</w:t>
      </w:r>
      <w:r w:rsidRPr="00D9612D">
        <w:rPr>
          <w:rFonts w:ascii="Arial" w:hAnsi="Arial" w:cs="Arial"/>
          <w:i/>
          <w:color w:val="2085C8"/>
          <w:position w:val="10"/>
          <w:lang w:val="en-US"/>
        </w:rPr>
        <w:t xml:space="preserve"> </w:t>
      </w:r>
      <w:r w:rsidRPr="00D9612D">
        <w:rPr>
          <w:rFonts w:ascii="Arial" w:hAnsi="Arial" w:cs="Arial"/>
          <w:i/>
          <w:lang w:val="en-US"/>
        </w:rPr>
        <w:t>J.M. Galvin,</w:t>
      </w:r>
      <w:r w:rsidRPr="00D9612D">
        <w:rPr>
          <w:rFonts w:ascii="Arial" w:hAnsi="Arial" w:cs="Arial"/>
          <w:i/>
          <w:lang w:val="en-US"/>
        </w:rPr>
        <w:t xml:space="preserve"> </w:t>
      </w:r>
      <w:r w:rsidRPr="00D9612D">
        <w:rPr>
          <w:rFonts w:ascii="Arial" w:hAnsi="Arial" w:cs="Arial"/>
          <w:i/>
          <w:lang w:val="en-US"/>
        </w:rPr>
        <w:t xml:space="preserve">V.S. </w:t>
      </w:r>
      <w:proofErr w:type="spellStart"/>
      <w:r w:rsidRPr="00D9612D">
        <w:rPr>
          <w:rFonts w:ascii="Arial" w:hAnsi="Arial" w:cs="Arial"/>
          <w:i/>
          <w:lang w:val="en-US"/>
        </w:rPr>
        <w:t>Kavadi</w:t>
      </w:r>
      <w:proofErr w:type="spellEnd"/>
      <w:r w:rsidRPr="00D9612D">
        <w:rPr>
          <w:rFonts w:ascii="Arial" w:hAnsi="Arial" w:cs="Arial"/>
          <w:i/>
          <w:lang w:val="en-US"/>
        </w:rPr>
        <w:t>,</w:t>
      </w:r>
      <w:r w:rsidRPr="00D9612D">
        <w:rPr>
          <w:rFonts w:ascii="Arial" w:hAnsi="Arial" w:cs="Arial"/>
          <w:i/>
          <w:color w:val="2085C8"/>
          <w:position w:val="10"/>
          <w:lang w:val="en-US"/>
        </w:rPr>
        <w:t xml:space="preserve"> </w:t>
      </w:r>
      <w:r w:rsidRPr="00D9612D">
        <w:rPr>
          <w:rFonts w:ascii="Arial" w:hAnsi="Arial" w:cs="Arial"/>
          <w:i/>
          <w:lang w:val="en-US"/>
        </w:rPr>
        <w:t>S. Narayan,</w:t>
      </w:r>
      <w:r w:rsidRPr="00D9612D">
        <w:rPr>
          <w:rFonts w:ascii="Arial" w:hAnsi="Arial" w:cs="Arial"/>
          <w:i/>
          <w:color w:val="2085C8"/>
          <w:position w:val="10"/>
          <w:lang w:val="en-US"/>
        </w:rPr>
        <w:t xml:space="preserve"> </w:t>
      </w:r>
      <w:r w:rsidRPr="00D9612D">
        <w:rPr>
          <w:rFonts w:ascii="Arial" w:hAnsi="Arial" w:cs="Arial"/>
          <w:i/>
          <w:lang w:val="en-US"/>
        </w:rPr>
        <w:t xml:space="preserve">P. </w:t>
      </w:r>
      <w:proofErr w:type="spellStart"/>
      <w:r w:rsidRPr="00D9612D">
        <w:rPr>
          <w:rFonts w:ascii="Arial" w:hAnsi="Arial" w:cs="Arial"/>
          <w:i/>
          <w:lang w:val="en-US"/>
        </w:rPr>
        <w:t>Iyengar</w:t>
      </w:r>
      <w:proofErr w:type="spellEnd"/>
      <w:r w:rsidRPr="00D9612D">
        <w:rPr>
          <w:rFonts w:ascii="Arial" w:hAnsi="Arial" w:cs="Arial"/>
          <w:i/>
          <w:lang w:val="en-US"/>
        </w:rPr>
        <w:t>,</w:t>
      </w:r>
      <w:r w:rsidRPr="00D9612D">
        <w:rPr>
          <w:rFonts w:ascii="Arial" w:hAnsi="Arial" w:cs="Arial"/>
          <w:i/>
          <w:color w:val="2085C8"/>
          <w:position w:val="10"/>
          <w:lang w:val="en-US"/>
        </w:rPr>
        <w:t xml:space="preserve"> </w:t>
      </w:r>
      <w:r w:rsidRPr="00D9612D">
        <w:rPr>
          <w:rFonts w:ascii="Arial" w:hAnsi="Arial" w:cs="Arial"/>
          <w:i/>
          <w:lang w:val="en-US"/>
        </w:rPr>
        <w:t>C.G. Robinson,</w:t>
      </w:r>
      <w:r w:rsidRPr="00D9612D">
        <w:rPr>
          <w:rFonts w:ascii="Arial" w:hAnsi="Arial" w:cs="Arial"/>
          <w:i/>
          <w:color w:val="2085C8"/>
          <w:position w:val="10"/>
          <w:lang w:val="en-US"/>
        </w:rPr>
        <w:t xml:space="preserve"> </w:t>
      </w:r>
      <w:r w:rsidRPr="00D9612D">
        <w:rPr>
          <w:rFonts w:ascii="Arial" w:hAnsi="Arial" w:cs="Arial"/>
          <w:i/>
          <w:lang w:val="en-US"/>
        </w:rPr>
        <w:t>R. Wynn,</w:t>
      </w:r>
      <w:r w:rsidRPr="00D9612D">
        <w:rPr>
          <w:rFonts w:ascii="Arial" w:hAnsi="Arial" w:cs="Arial"/>
          <w:i/>
          <w:color w:val="2085C8"/>
          <w:lang w:val="en-US"/>
        </w:rPr>
        <w:t> </w:t>
      </w:r>
      <w:r w:rsidRPr="00D9612D">
        <w:rPr>
          <w:rFonts w:ascii="Arial" w:hAnsi="Arial" w:cs="Arial"/>
          <w:i/>
          <w:lang w:val="en-US"/>
        </w:rPr>
        <w:t xml:space="preserve">A. </w:t>
      </w:r>
      <w:proofErr w:type="spellStart"/>
      <w:r w:rsidRPr="00D9612D">
        <w:rPr>
          <w:rFonts w:ascii="Arial" w:hAnsi="Arial" w:cs="Arial"/>
          <w:i/>
          <w:lang w:val="en-US"/>
        </w:rPr>
        <w:t>Raben</w:t>
      </w:r>
      <w:proofErr w:type="spellEnd"/>
      <w:r w:rsidRPr="00D9612D">
        <w:rPr>
          <w:rFonts w:ascii="Arial" w:hAnsi="Arial" w:cs="Arial"/>
          <w:i/>
          <w:lang w:val="en-US"/>
        </w:rPr>
        <w:t>,</w:t>
      </w:r>
      <w:r w:rsidRPr="00D9612D">
        <w:rPr>
          <w:rFonts w:ascii="Arial" w:hAnsi="Arial" w:cs="Arial"/>
          <w:i/>
          <w:color w:val="2085C8"/>
          <w:position w:val="10"/>
          <w:lang w:val="en-US"/>
        </w:rPr>
        <w:t xml:space="preserve"> </w:t>
      </w:r>
      <w:r w:rsidRPr="00D9612D">
        <w:rPr>
          <w:rFonts w:ascii="Arial" w:hAnsi="Arial" w:cs="Arial"/>
          <w:i/>
          <w:lang w:val="en-US"/>
        </w:rPr>
        <w:t xml:space="preserve">M. </w:t>
      </w:r>
      <w:proofErr w:type="spellStart"/>
      <w:r w:rsidRPr="00D9612D">
        <w:rPr>
          <w:rFonts w:ascii="Arial" w:hAnsi="Arial" w:cs="Arial"/>
          <w:i/>
          <w:lang w:val="en-US"/>
        </w:rPr>
        <w:t>Augspurger</w:t>
      </w:r>
      <w:proofErr w:type="spellEnd"/>
      <w:r w:rsidRPr="00D9612D">
        <w:rPr>
          <w:rFonts w:ascii="Arial" w:hAnsi="Arial" w:cs="Arial"/>
          <w:i/>
          <w:lang w:val="en-US"/>
        </w:rPr>
        <w:t>,</w:t>
      </w:r>
      <w:r w:rsidRPr="00D9612D">
        <w:rPr>
          <w:rFonts w:ascii="Arial" w:hAnsi="Arial" w:cs="Arial"/>
          <w:i/>
          <w:color w:val="2085C8"/>
          <w:position w:val="10"/>
          <w:lang w:val="en-US"/>
        </w:rPr>
        <w:t xml:space="preserve"> </w:t>
      </w:r>
      <w:r w:rsidRPr="00D9612D">
        <w:rPr>
          <w:rFonts w:ascii="Arial" w:hAnsi="Arial" w:cs="Arial"/>
          <w:i/>
          <w:lang w:val="en-US"/>
        </w:rPr>
        <w:t xml:space="preserve">R.M. </w:t>
      </w:r>
      <w:proofErr w:type="spellStart"/>
      <w:r w:rsidRPr="00D9612D">
        <w:rPr>
          <w:rFonts w:ascii="Arial" w:hAnsi="Arial" w:cs="Arial"/>
          <w:i/>
          <w:lang w:val="en-US"/>
        </w:rPr>
        <w:t>MacRae</w:t>
      </w:r>
      <w:proofErr w:type="spellEnd"/>
      <w:r w:rsidRPr="00D9612D">
        <w:rPr>
          <w:rFonts w:ascii="Arial" w:hAnsi="Arial" w:cs="Arial"/>
          <w:i/>
          <w:lang w:val="en-US"/>
        </w:rPr>
        <w:t>,</w:t>
      </w:r>
      <w:r w:rsidRPr="00D9612D">
        <w:rPr>
          <w:rFonts w:ascii="Arial" w:hAnsi="Arial" w:cs="Arial"/>
          <w:i/>
          <w:color w:val="2085C8"/>
          <w:position w:val="10"/>
          <w:lang w:val="en-US"/>
        </w:rPr>
        <w:t xml:space="preserve"> </w:t>
      </w:r>
      <w:r w:rsidRPr="00D9612D">
        <w:rPr>
          <w:rFonts w:ascii="Arial" w:hAnsi="Arial" w:cs="Arial"/>
          <w:i/>
          <w:lang w:val="en-US"/>
        </w:rPr>
        <w:t>R. Paulus,</w:t>
      </w:r>
      <w:r w:rsidRPr="00D9612D">
        <w:rPr>
          <w:rFonts w:ascii="Arial" w:hAnsi="Arial" w:cs="Arial"/>
          <w:i/>
          <w:color w:val="2085C8"/>
          <w:lang w:val="en-US"/>
        </w:rPr>
        <w:t> </w:t>
      </w:r>
      <w:r w:rsidRPr="00D9612D">
        <w:rPr>
          <w:rFonts w:ascii="Arial" w:hAnsi="Arial" w:cs="Arial"/>
          <w:i/>
          <w:lang w:val="en-US"/>
        </w:rPr>
        <w:t>and J.D. Bradley</w:t>
      </w:r>
    </w:p>
    <w:p w14:paraId="46298DEC" w14:textId="77777777" w:rsidR="00D9612D" w:rsidRPr="00D9612D" w:rsidRDefault="00D9612D" w:rsidP="00D9612D">
      <w:pPr>
        <w:widowControl w:val="0"/>
        <w:autoSpaceDE w:val="0"/>
        <w:autoSpaceDN w:val="0"/>
        <w:adjustRightInd w:val="0"/>
        <w:spacing w:after="240"/>
        <w:rPr>
          <w:rFonts w:ascii="Arial" w:hAnsi="Arial" w:cs="Arial"/>
          <w:lang w:val="en-US"/>
        </w:rPr>
      </w:pPr>
      <w:r w:rsidRPr="00D9612D">
        <w:rPr>
          <w:rFonts w:ascii="Arial" w:hAnsi="Arial" w:cs="Arial"/>
          <w:b/>
          <w:lang w:val="en-US"/>
        </w:rPr>
        <w:t>Purpose/Objective(s):</w:t>
      </w:r>
      <w:r w:rsidRPr="00D9612D">
        <w:rPr>
          <w:rFonts w:ascii="Arial" w:hAnsi="Arial" w:cs="Arial"/>
          <w:lang w:val="en-US"/>
        </w:rPr>
        <w:t xml:space="preserve"> Intensity modulated radiation therapy (IMRT) is being increasingly used for </w:t>
      </w:r>
      <w:proofErr w:type="gramStart"/>
      <w:r w:rsidRPr="00D9612D">
        <w:rPr>
          <w:rFonts w:ascii="Arial" w:hAnsi="Arial" w:cs="Arial"/>
          <w:lang w:val="en-US"/>
        </w:rPr>
        <w:t>locally-advanced</w:t>
      </w:r>
      <w:proofErr w:type="gramEnd"/>
      <w:r w:rsidRPr="00D9612D">
        <w:rPr>
          <w:rFonts w:ascii="Arial" w:hAnsi="Arial" w:cs="Arial"/>
          <w:lang w:val="en-US"/>
        </w:rPr>
        <w:t xml:space="preserve"> non-small cell lung cancer (NSCLC) as a measure to improve target coverage and spare toxicity. Outcomes of IMRT compared to 3D-conformal radiation therapy (3D-CRT) for NSCLC have not previously been assessed in a large prospective cooperative group clinical trial. </w:t>
      </w:r>
    </w:p>
    <w:p w14:paraId="43365ED1" w14:textId="77777777" w:rsidR="00D9612D" w:rsidRPr="00D9612D" w:rsidRDefault="00D9612D" w:rsidP="00D9612D">
      <w:pPr>
        <w:widowControl w:val="0"/>
        <w:autoSpaceDE w:val="0"/>
        <w:autoSpaceDN w:val="0"/>
        <w:adjustRightInd w:val="0"/>
        <w:spacing w:after="240"/>
        <w:rPr>
          <w:rFonts w:ascii="Arial" w:hAnsi="Arial" w:cs="Arial"/>
          <w:lang w:val="en-US"/>
        </w:rPr>
      </w:pPr>
      <w:r w:rsidRPr="00D9612D">
        <w:rPr>
          <w:rFonts w:ascii="Arial" w:hAnsi="Arial" w:cs="Arial"/>
          <w:b/>
          <w:lang w:val="en-US"/>
        </w:rPr>
        <w:t xml:space="preserve">Materials/Methods: </w:t>
      </w:r>
      <w:r w:rsidRPr="00D9612D">
        <w:rPr>
          <w:rFonts w:ascii="Arial" w:hAnsi="Arial" w:cs="Arial"/>
          <w:lang w:val="en-US"/>
        </w:rPr>
        <w:t xml:space="preserve">A secondary analysis was performed in patients with stage III NSCLC treated with radiation therapy (RT) in RTOG 0617, a randomized phase III comparison of standard-dose (60 </w:t>
      </w:r>
      <w:proofErr w:type="spellStart"/>
      <w:r w:rsidRPr="00D9612D">
        <w:rPr>
          <w:rFonts w:ascii="Arial" w:hAnsi="Arial" w:cs="Arial"/>
          <w:lang w:val="en-US"/>
        </w:rPr>
        <w:t>Gy</w:t>
      </w:r>
      <w:proofErr w:type="spellEnd"/>
      <w:r w:rsidRPr="00D9612D">
        <w:rPr>
          <w:rFonts w:ascii="Arial" w:hAnsi="Arial" w:cs="Arial"/>
          <w:lang w:val="en-US"/>
        </w:rPr>
        <w:t xml:space="preserve">) versus high-dose (74 </w:t>
      </w:r>
      <w:proofErr w:type="spellStart"/>
      <w:r w:rsidRPr="00D9612D">
        <w:rPr>
          <w:rFonts w:ascii="Arial" w:hAnsi="Arial" w:cs="Arial"/>
          <w:lang w:val="en-US"/>
        </w:rPr>
        <w:t>Gy</w:t>
      </w:r>
      <w:proofErr w:type="spellEnd"/>
      <w:r w:rsidRPr="00D9612D">
        <w:rPr>
          <w:rFonts w:ascii="Arial" w:hAnsi="Arial" w:cs="Arial"/>
          <w:lang w:val="en-US"/>
        </w:rPr>
        <w:t xml:space="preserve">) </w:t>
      </w:r>
      <w:proofErr w:type="spellStart"/>
      <w:r w:rsidRPr="00D9612D">
        <w:rPr>
          <w:rFonts w:ascii="Arial" w:hAnsi="Arial" w:cs="Arial"/>
          <w:lang w:val="en-US"/>
        </w:rPr>
        <w:t>chemoradiotherapy</w:t>
      </w:r>
      <w:proofErr w:type="spellEnd"/>
      <w:r w:rsidRPr="00D9612D">
        <w:rPr>
          <w:rFonts w:ascii="Arial" w:hAnsi="Arial" w:cs="Arial"/>
          <w:lang w:val="en-US"/>
        </w:rPr>
        <w:t xml:space="preserve"> +/- </w:t>
      </w:r>
      <w:proofErr w:type="spellStart"/>
      <w:r w:rsidRPr="00D9612D">
        <w:rPr>
          <w:rFonts w:ascii="Arial" w:hAnsi="Arial" w:cs="Arial"/>
          <w:lang w:val="en-US"/>
        </w:rPr>
        <w:t>cetuximab</w:t>
      </w:r>
      <w:proofErr w:type="spellEnd"/>
      <w:r w:rsidRPr="00D9612D">
        <w:rPr>
          <w:rFonts w:ascii="Arial" w:hAnsi="Arial" w:cs="Arial"/>
          <w:lang w:val="en-US"/>
        </w:rPr>
        <w:t xml:space="preserve">. RT technique was one of three pre-specified stratification factors. Pre-treatment factors and </w:t>
      </w:r>
      <w:proofErr w:type="spellStart"/>
      <w:r w:rsidRPr="00D9612D">
        <w:rPr>
          <w:rFonts w:ascii="Arial" w:hAnsi="Arial" w:cs="Arial"/>
          <w:lang w:val="en-US"/>
        </w:rPr>
        <w:t>dosimetric</w:t>
      </w:r>
      <w:proofErr w:type="spellEnd"/>
      <w:r w:rsidRPr="00D9612D">
        <w:rPr>
          <w:rFonts w:ascii="Arial" w:hAnsi="Arial" w:cs="Arial"/>
          <w:lang w:val="en-US"/>
        </w:rPr>
        <w:t xml:space="preserve"> parameters were compared between RT techniques after adjusting for RT dose levels and </w:t>
      </w:r>
      <w:proofErr w:type="spellStart"/>
      <w:r w:rsidRPr="00D9612D">
        <w:rPr>
          <w:rFonts w:ascii="Arial" w:hAnsi="Arial" w:cs="Arial"/>
          <w:lang w:val="en-US"/>
        </w:rPr>
        <w:t>cetuximab</w:t>
      </w:r>
      <w:proofErr w:type="spellEnd"/>
      <w:r w:rsidRPr="00D9612D">
        <w:rPr>
          <w:rFonts w:ascii="Arial" w:hAnsi="Arial" w:cs="Arial"/>
          <w:lang w:val="en-US"/>
        </w:rPr>
        <w:t xml:space="preserve"> usage. The prognostic value of RT technique with respect to toxicity and efficacy was assessed through multivariate logistic regression and Cox proportional hazards model after controlling for RT dose level, </w:t>
      </w:r>
      <w:proofErr w:type="spellStart"/>
      <w:r w:rsidRPr="00D9612D">
        <w:rPr>
          <w:rFonts w:ascii="Arial" w:hAnsi="Arial" w:cs="Arial"/>
          <w:lang w:val="en-US"/>
        </w:rPr>
        <w:t>cetuximab</w:t>
      </w:r>
      <w:proofErr w:type="spellEnd"/>
      <w:r w:rsidRPr="00D9612D">
        <w:rPr>
          <w:rFonts w:ascii="Arial" w:hAnsi="Arial" w:cs="Arial"/>
          <w:lang w:val="en-US"/>
        </w:rPr>
        <w:t xml:space="preserve"> use and other prognostic factors. </w:t>
      </w:r>
    </w:p>
    <w:p w14:paraId="17E047BA" w14:textId="77777777" w:rsidR="00D9612D" w:rsidRPr="00D9612D" w:rsidRDefault="00D9612D" w:rsidP="00D9612D">
      <w:pPr>
        <w:widowControl w:val="0"/>
        <w:autoSpaceDE w:val="0"/>
        <w:autoSpaceDN w:val="0"/>
        <w:adjustRightInd w:val="0"/>
        <w:spacing w:after="240"/>
        <w:rPr>
          <w:rFonts w:ascii="Arial" w:hAnsi="Arial" w:cs="Arial"/>
          <w:lang w:val="en-US"/>
        </w:rPr>
      </w:pPr>
      <w:r w:rsidRPr="00D9612D">
        <w:rPr>
          <w:rFonts w:ascii="Arial" w:hAnsi="Arial" w:cs="Arial"/>
          <w:b/>
          <w:lang w:val="en-US"/>
        </w:rPr>
        <w:t>Results:</w:t>
      </w:r>
      <w:r w:rsidRPr="00D9612D">
        <w:rPr>
          <w:rFonts w:ascii="Arial" w:hAnsi="Arial" w:cs="Arial"/>
          <w:lang w:val="en-US"/>
        </w:rPr>
        <w:t xml:space="preserve"> Among the 482 eligible patients treated with RT, 53% and 47% were treated with 3D-CRT and IMRT, respectively. The IMRT group had more stage IIIB (38.6 vs. 30.3%, P </w:t>
      </w:r>
      <w:r>
        <w:rPr>
          <w:rFonts w:ascii="Arial" w:hAnsi="Arial" w:cs="Arial"/>
          <w:lang w:val="en-US"/>
        </w:rPr>
        <w:t>=</w:t>
      </w:r>
      <w:r w:rsidRPr="00D9612D">
        <w:rPr>
          <w:rFonts w:ascii="Arial" w:hAnsi="Arial" w:cs="Arial"/>
          <w:lang w:val="en-US"/>
        </w:rPr>
        <w:t xml:space="preserve"> 0.056), larger PTVs (mean, 486 vs. 427 mL, P </w:t>
      </w:r>
      <w:r>
        <w:rPr>
          <w:rFonts w:ascii="Arial" w:hAnsi="Arial" w:cs="Arial"/>
          <w:lang w:val="en-US"/>
        </w:rPr>
        <w:t>=</w:t>
      </w:r>
      <w:r w:rsidRPr="00D9612D">
        <w:rPr>
          <w:rFonts w:ascii="Arial" w:hAnsi="Arial" w:cs="Arial"/>
          <w:lang w:val="en-US"/>
        </w:rPr>
        <w:t xml:space="preserve"> 0.005), and larger </w:t>
      </w:r>
      <w:proofErr w:type="spellStart"/>
      <w:r w:rsidRPr="00D9612D">
        <w:rPr>
          <w:rFonts w:ascii="Arial" w:hAnsi="Arial" w:cs="Arial"/>
          <w:lang w:val="en-US"/>
        </w:rPr>
        <w:t>PTV</w:t>
      </w:r>
      <w:proofErr w:type="gramStart"/>
      <w:r w:rsidRPr="00D9612D">
        <w:rPr>
          <w:rFonts w:ascii="Arial" w:hAnsi="Arial" w:cs="Arial"/>
          <w:lang w:val="en-US"/>
        </w:rPr>
        <w:t>:lung</w:t>
      </w:r>
      <w:proofErr w:type="spellEnd"/>
      <w:proofErr w:type="gramEnd"/>
      <w:r w:rsidRPr="00D9612D">
        <w:rPr>
          <w:rFonts w:ascii="Arial" w:hAnsi="Arial" w:cs="Arial"/>
          <w:lang w:val="en-US"/>
        </w:rPr>
        <w:t xml:space="preserve"> ratio (mean, 0.15 vs. 0.13, P </w:t>
      </w:r>
      <w:r>
        <w:rPr>
          <w:rFonts w:ascii="Arial" w:hAnsi="Arial" w:cs="Arial"/>
          <w:lang w:val="en-US"/>
        </w:rPr>
        <w:t>=</w:t>
      </w:r>
      <w:r w:rsidRPr="00D9612D">
        <w:rPr>
          <w:rFonts w:ascii="Arial" w:hAnsi="Arial" w:cs="Arial"/>
          <w:lang w:val="en-US"/>
        </w:rPr>
        <w:t xml:space="preserve"> 0.013). For a given PTV volume, IMRT was ass</w:t>
      </w:r>
      <w:r>
        <w:rPr>
          <w:rFonts w:ascii="Arial" w:hAnsi="Arial" w:cs="Arial"/>
          <w:lang w:val="en-US"/>
        </w:rPr>
        <w:t>ociated with lower lung V20 (P =</w:t>
      </w:r>
      <w:r w:rsidRPr="00D9612D">
        <w:rPr>
          <w:rFonts w:ascii="Arial" w:hAnsi="Arial" w:cs="Arial"/>
          <w:lang w:val="en-US"/>
        </w:rPr>
        <w:t xml:space="preserve"> 0.08), and lower heart doses (V5, V20, and V40) than 3D-CRT. IMRT was associated with a 2-fold lower rate (3.5 versus 7.</w:t>
      </w:r>
      <w:r>
        <w:rPr>
          <w:rFonts w:ascii="Arial" w:hAnsi="Arial" w:cs="Arial"/>
          <w:lang w:val="en-US"/>
        </w:rPr>
        <w:t>9%) of Grade 3+ pneumonitis (P =</w:t>
      </w:r>
      <w:r w:rsidRPr="00D9612D">
        <w:rPr>
          <w:rFonts w:ascii="Arial" w:hAnsi="Arial" w:cs="Arial"/>
          <w:lang w:val="en-US"/>
        </w:rPr>
        <w:t xml:space="preserve"> 0.0653). The relative reduction of lung V20 with IMRT was exchanged for significantly larger amounts of low dose (V5) delivered to the lung (62% versus 55%, P &lt; 0.0001). The lung V20 was predictive of grade </w:t>
      </w:r>
      <w:proofErr w:type="gramStart"/>
      <w:r w:rsidRPr="00D9612D">
        <w:rPr>
          <w:rFonts w:ascii="Arial" w:hAnsi="Arial" w:cs="Arial"/>
          <w:lang w:val="en-US"/>
        </w:rPr>
        <w:t>3+ pneumonitis,</w:t>
      </w:r>
      <w:proofErr w:type="gramEnd"/>
      <w:r w:rsidRPr="00D9612D">
        <w:rPr>
          <w:rFonts w:ascii="Arial" w:hAnsi="Arial" w:cs="Arial"/>
          <w:lang w:val="en-US"/>
        </w:rPr>
        <w:t xml:space="preserve"> while the lung V5 and mean lung doses were not. Larger heart V40 wa</w:t>
      </w:r>
      <w:r>
        <w:rPr>
          <w:rFonts w:ascii="Arial" w:hAnsi="Arial" w:cs="Arial"/>
          <w:lang w:val="en-US"/>
        </w:rPr>
        <w:t>s associated with worse OS (HR =</w:t>
      </w:r>
      <w:r w:rsidRPr="00D9612D">
        <w:rPr>
          <w:rFonts w:ascii="Arial" w:hAnsi="Arial" w:cs="Arial"/>
          <w:lang w:val="en-US"/>
        </w:rPr>
        <w:t xml:space="preserve"> 1.013, P &lt; 0.001), and the heart V40 was significantly lower in patients treated with IMRT. Patients treated with IMRT were also more likely (37 versus 29%) to receive full doses of</w:t>
      </w:r>
      <w:r>
        <w:rPr>
          <w:rFonts w:ascii="Arial" w:hAnsi="Arial" w:cs="Arial"/>
          <w:lang w:val="en-US"/>
        </w:rPr>
        <w:t xml:space="preserve"> consolidative chemotherapy (P =</w:t>
      </w:r>
      <w:r w:rsidRPr="00D9612D">
        <w:rPr>
          <w:rFonts w:ascii="Arial" w:hAnsi="Arial" w:cs="Arial"/>
          <w:lang w:val="en-US"/>
        </w:rPr>
        <w:t xml:space="preserve"> 0.05). OS and PFS were similar between IMRT and 3D-CRT. </w:t>
      </w:r>
    </w:p>
    <w:p w14:paraId="122C6F35" w14:textId="77777777" w:rsidR="00D9612D" w:rsidRPr="00D9612D" w:rsidRDefault="00D9612D" w:rsidP="00D9612D">
      <w:pPr>
        <w:widowControl w:val="0"/>
        <w:autoSpaceDE w:val="0"/>
        <w:autoSpaceDN w:val="0"/>
        <w:adjustRightInd w:val="0"/>
        <w:spacing w:after="240"/>
        <w:rPr>
          <w:rFonts w:ascii="Arial" w:hAnsi="Arial" w:cs="Arial"/>
          <w:lang w:val="en-US"/>
        </w:rPr>
      </w:pPr>
      <w:r w:rsidRPr="00D9612D">
        <w:rPr>
          <w:rFonts w:ascii="Arial" w:hAnsi="Arial" w:cs="Arial"/>
          <w:b/>
          <w:lang w:val="en-US"/>
        </w:rPr>
        <w:t>Conclusion:</w:t>
      </w:r>
      <w:r w:rsidRPr="00D9612D">
        <w:rPr>
          <w:rFonts w:ascii="Arial" w:hAnsi="Arial" w:cs="Arial"/>
          <w:lang w:val="en-US"/>
        </w:rPr>
        <w:t xml:space="preserve"> Although IMRT was used to treat larger and less favorable tumors in RTOG </w:t>
      </w:r>
      <w:proofErr w:type="gramStart"/>
      <w:r w:rsidRPr="00D9612D">
        <w:rPr>
          <w:rFonts w:ascii="Arial" w:hAnsi="Arial" w:cs="Arial"/>
          <w:lang w:val="en-US"/>
        </w:rPr>
        <w:t>0617,</w:t>
      </w:r>
      <w:proofErr w:type="gramEnd"/>
      <w:r w:rsidRPr="00D9612D">
        <w:rPr>
          <w:rFonts w:ascii="Arial" w:hAnsi="Arial" w:cs="Arial"/>
          <w:lang w:val="en-US"/>
        </w:rPr>
        <w:t xml:space="preserve"> it was associated with reduced risk of severe pneumonitis and an </w:t>
      </w:r>
      <w:r w:rsidRPr="00D9612D">
        <w:rPr>
          <w:rFonts w:ascii="Arial" w:hAnsi="Arial" w:cs="Arial"/>
          <w:lang w:val="en-US"/>
        </w:rPr>
        <w:lastRenderedPageBreak/>
        <w:t xml:space="preserve">improved likelihood to receive full doses of consolidative chemotherapy. Lung V20, but not V5, was predictive of severe pneumonitis. The heart V40, shown to be highly prognostic for survival, can be substantially reduced with IMRT compared to 3D-CRT. </w:t>
      </w:r>
    </w:p>
    <w:p w14:paraId="4DB3066A" w14:textId="77777777" w:rsidR="001F110E" w:rsidRPr="00D9612D" w:rsidRDefault="001F110E">
      <w:pPr>
        <w:rPr>
          <w:rFonts w:ascii="Arial" w:hAnsi="Arial" w:cs="Arial"/>
        </w:rPr>
      </w:pPr>
    </w:p>
    <w:sectPr w:rsidR="001F110E" w:rsidRPr="00D9612D" w:rsidSect="00FB5DB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2D"/>
    <w:rsid w:val="001F110E"/>
    <w:rsid w:val="00281DBB"/>
    <w:rsid w:val="00D9612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AC30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449</Words>
  <Characters>2561</Characters>
  <Application>Microsoft Macintosh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2015-11-26T07:06:00Z</dcterms:created>
  <dcterms:modified xsi:type="dcterms:W3CDTF">2015-11-26T07:22:00Z</dcterms:modified>
</cp:coreProperties>
</file>