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417" w:rsidRPr="00036417" w:rsidRDefault="00036417" w:rsidP="00036417">
      <w:pPr>
        <w:widowControl w:val="0"/>
        <w:tabs>
          <w:tab w:val="left" w:pos="220"/>
          <w:tab w:val="left" w:pos="720"/>
        </w:tabs>
        <w:autoSpaceDE w:val="0"/>
        <w:autoSpaceDN w:val="0"/>
        <w:adjustRightInd w:val="0"/>
        <w:spacing w:after="240" w:line="360" w:lineRule="auto"/>
        <w:ind w:left="720"/>
        <w:rPr>
          <w:rFonts w:ascii="Times New Roman" w:hAnsi="Times New Roman" w:cs="Times New Roman"/>
          <w:b/>
          <w:szCs w:val="20"/>
          <w:lang w:val="en-US"/>
        </w:rPr>
      </w:pPr>
      <w:r w:rsidRPr="00036417">
        <w:rPr>
          <w:rFonts w:ascii="Times New Roman" w:hAnsi="Times New Roman" w:cs="Times New Roman"/>
          <w:b/>
          <w:szCs w:val="20"/>
          <w:lang w:val="en-US"/>
        </w:rPr>
        <w:t>Tumor Treating Fields (</w:t>
      </w:r>
      <w:proofErr w:type="spellStart"/>
      <w:r w:rsidRPr="00036417">
        <w:rPr>
          <w:rFonts w:ascii="Times New Roman" w:hAnsi="Times New Roman" w:cs="Times New Roman"/>
          <w:b/>
          <w:szCs w:val="20"/>
          <w:lang w:val="en-US"/>
        </w:rPr>
        <w:t>TTFields</w:t>
      </w:r>
      <w:proofErr w:type="spellEnd"/>
      <w:r w:rsidRPr="00036417">
        <w:rPr>
          <w:rFonts w:ascii="Times New Roman" w:hAnsi="Times New Roman" w:cs="Times New Roman"/>
          <w:b/>
          <w:szCs w:val="20"/>
          <w:lang w:val="en-US"/>
        </w:rPr>
        <w:t xml:space="preserve">) A Novel Cancer Treatment Modality: Translating Preclinical Evidence and Engineering </w:t>
      </w:r>
      <w:proofErr w:type="gramStart"/>
      <w:r w:rsidRPr="00036417">
        <w:rPr>
          <w:rFonts w:ascii="Times New Roman" w:hAnsi="Times New Roman" w:cs="Times New Roman"/>
          <w:b/>
          <w:szCs w:val="20"/>
          <w:lang w:val="en-US"/>
        </w:rPr>
        <w:t>Into</w:t>
      </w:r>
      <w:proofErr w:type="gramEnd"/>
      <w:r w:rsidRPr="00036417">
        <w:rPr>
          <w:rFonts w:ascii="Times New Roman" w:hAnsi="Times New Roman" w:cs="Times New Roman"/>
          <w:b/>
          <w:szCs w:val="20"/>
          <w:lang w:val="en-US"/>
        </w:rPr>
        <w:t xml:space="preserve"> a Survival Benefit with Dela</w:t>
      </w:r>
      <w:r w:rsidR="00992E01">
        <w:rPr>
          <w:rFonts w:ascii="Times New Roman" w:hAnsi="Times New Roman" w:cs="Times New Roman"/>
          <w:b/>
          <w:szCs w:val="20"/>
          <w:lang w:val="en-US"/>
        </w:rPr>
        <w:t xml:space="preserve">yed Decline in Quality of Life </w:t>
      </w:r>
    </w:p>
    <w:p w:rsidR="00036417" w:rsidRDefault="00036417" w:rsidP="00036417">
      <w:pPr>
        <w:widowControl w:val="0"/>
        <w:tabs>
          <w:tab w:val="left" w:pos="220"/>
          <w:tab w:val="left" w:pos="720"/>
        </w:tabs>
        <w:autoSpaceDE w:val="0"/>
        <w:autoSpaceDN w:val="0"/>
        <w:adjustRightInd w:val="0"/>
        <w:spacing w:after="240" w:line="360" w:lineRule="auto"/>
        <w:ind w:left="720"/>
        <w:rPr>
          <w:rFonts w:ascii="Times New Roman" w:hAnsi="Times New Roman" w:cs="Times New Roman"/>
          <w:sz w:val="20"/>
          <w:szCs w:val="20"/>
          <w:lang w:val="en-US"/>
        </w:rPr>
      </w:pPr>
      <w:r w:rsidRPr="00036417">
        <w:rPr>
          <w:rFonts w:ascii="Times New Roman" w:hAnsi="Times New Roman" w:cs="Times New Roman"/>
          <w:sz w:val="20"/>
          <w:szCs w:val="20"/>
          <w:lang w:val="en-US"/>
        </w:rPr>
        <w:t xml:space="preserve">R. </w:t>
      </w:r>
      <w:proofErr w:type="spellStart"/>
      <w:r w:rsidRPr="00036417">
        <w:rPr>
          <w:rFonts w:ascii="Times New Roman" w:hAnsi="Times New Roman" w:cs="Times New Roman"/>
          <w:sz w:val="20"/>
          <w:szCs w:val="20"/>
          <w:lang w:val="en-US"/>
        </w:rPr>
        <w:t>Stupp</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M. </w:t>
      </w:r>
      <w:proofErr w:type="spellStart"/>
      <w:r w:rsidRPr="00036417">
        <w:rPr>
          <w:rFonts w:ascii="Times New Roman" w:hAnsi="Times New Roman" w:cs="Times New Roman"/>
          <w:sz w:val="20"/>
          <w:szCs w:val="20"/>
          <w:lang w:val="en-US"/>
        </w:rPr>
        <w:t>Taphoorn</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2</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L. Driven,</w:t>
      </w:r>
      <w:r w:rsidRPr="00036417">
        <w:rPr>
          <w:rFonts w:ascii="Times New Roman" w:hAnsi="Times New Roman" w:cs="Times New Roman"/>
          <w:color w:val="0D6B9B"/>
          <w:position w:val="10"/>
          <w:sz w:val="16"/>
          <w:szCs w:val="20"/>
          <w:lang w:val="en-US"/>
        </w:rPr>
        <w:t>2</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S. </w:t>
      </w:r>
      <w:proofErr w:type="spellStart"/>
      <w:r w:rsidRPr="00036417">
        <w:rPr>
          <w:rFonts w:ascii="Times New Roman" w:hAnsi="Times New Roman" w:cs="Times New Roman"/>
          <w:sz w:val="20"/>
          <w:szCs w:val="20"/>
          <w:lang w:val="en-US"/>
        </w:rPr>
        <w:t>Taillibert</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3</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J. </w:t>
      </w:r>
      <w:proofErr w:type="spellStart"/>
      <w:r w:rsidRPr="00036417">
        <w:rPr>
          <w:rFonts w:ascii="Times New Roman" w:hAnsi="Times New Roman" w:cs="Times New Roman"/>
          <w:sz w:val="20"/>
          <w:szCs w:val="20"/>
          <w:lang w:val="en-US"/>
        </w:rPr>
        <w:t>Honnorat</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 xml:space="preserve">4 </w:t>
      </w:r>
      <w:r w:rsidRPr="00036417">
        <w:rPr>
          <w:rFonts w:ascii="Times New Roman" w:hAnsi="Times New Roman" w:cs="Times New Roman"/>
          <w:sz w:val="20"/>
          <w:szCs w:val="20"/>
          <w:lang w:val="en-US"/>
        </w:rPr>
        <w:t>T.C. Chen,</w:t>
      </w:r>
      <w:r w:rsidRPr="00036417">
        <w:rPr>
          <w:rFonts w:ascii="Times New Roman" w:hAnsi="Times New Roman" w:cs="Times New Roman"/>
          <w:color w:val="0D6B9B"/>
          <w:position w:val="10"/>
          <w:sz w:val="16"/>
          <w:szCs w:val="20"/>
          <w:lang w:val="en-US"/>
        </w:rPr>
        <w:t>5</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J. </w:t>
      </w:r>
      <w:proofErr w:type="spellStart"/>
      <w:r w:rsidRPr="00036417">
        <w:rPr>
          <w:rFonts w:ascii="Times New Roman" w:hAnsi="Times New Roman" w:cs="Times New Roman"/>
          <w:sz w:val="20"/>
          <w:szCs w:val="20"/>
          <w:lang w:val="en-US"/>
        </w:rPr>
        <w:t>Sroubek</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6</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S.H. </w:t>
      </w:r>
      <w:proofErr w:type="spellStart"/>
      <w:r w:rsidRPr="00036417">
        <w:rPr>
          <w:rFonts w:ascii="Times New Roman" w:hAnsi="Times New Roman" w:cs="Times New Roman"/>
          <w:sz w:val="20"/>
          <w:szCs w:val="20"/>
          <w:lang w:val="en-US"/>
        </w:rPr>
        <w:t>Paek</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7</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J.B. </w:t>
      </w:r>
      <w:proofErr w:type="spellStart"/>
      <w:r w:rsidRPr="00036417">
        <w:rPr>
          <w:rFonts w:ascii="Times New Roman" w:hAnsi="Times New Roman" w:cs="Times New Roman"/>
          <w:sz w:val="20"/>
          <w:szCs w:val="20"/>
          <w:lang w:val="en-US"/>
        </w:rPr>
        <w:t>Escuder</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8</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J. </w:t>
      </w:r>
      <w:proofErr w:type="spellStart"/>
      <w:r w:rsidRPr="00036417">
        <w:rPr>
          <w:rFonts w:ascii="Times New Roman" w:hAnsi="Times New Roman" w:cs="Times New Roman"/>
          <w:sz w:val="20"/>
          <w:szCs w:val="20"/>
          <w:lang w:val="en-US"/>
        </w:rPr>
        <w:t>Easaw</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9</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C. David,</w:t>
      </w:r>
      <w:r w:rsidRPr="00036417">
        <w:rPr>
          <w:rFonts w:ascii="Times New Roman" w:hAnsi="Times New Roman" w:cs="Times New Roman"/>
          <w:color w:val="0D6B9B"/>
          <w:position w:val="10"/>
          <w:sz w:val="16"/>
          <w:szCs w:val="20"/>
          <w:lang w:val="en-US"/>
        </w:rPr>
        <w:t>10</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C. Kim,</w:t>
      </w:r>
      <w:r w:rsidRPr="00036417">
        <w:rPr>
          <w:rFonts w:ascii="Times New Roman" w:hAnsi="Times New Roman" w:cs="Times New Roman"/>
          <w:color w:val="0D6B9B"/>
          <w:position w:val="10"/>
          <w:sz w:val="16"/>
          <w:szCs w:val="20"/>
          <w:lang w:val="en-US"/>
        </w:rPr>
        <w:t>11</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R. Desai,</w:t>
      </w:r>
      <w:r w:rsidRPr="00036417">
        <w:rPr>
          <w:rFonts w:ascii="Times New Roman" w:hAnsi="Times New Roman" w:cs="Times New Roman"/>
          <w:color w:val="0D6B9B"/>
          <w:position w:val="10"/>
          <w:sz w:val="16"/>
          <w:szCs w:val="20"/>
          <w:lang w:val="en-US"/>
        </w:rPr>
        <w:t xml:space="preserve">12 </w:t>
      </w:r>
      <w:r w:rsidRPr="00036417">
        <w:rPr>
          <w:rFonts w:ascii="Times New Roman" w:hAnsi="Times New Roman" w:cs="Times New Roman"/>
          <w:sz w:val="20"/>
          <w:szCs w:val="20"/>
          <w:lang w:val="en-US"/>
        </w:rPr>
        <w:t xml:space="preserve">A. </w:t>
      </w:r>
      <w:proofErr w:type="spellStart"/>
      <w:r w:rsidRPr="00036417">
        <w:rPr>
          <w:rFonts w:ascii="Times New Roman" w:hAnsi="Times New Roman" w:cs="Times New Roman"/>
          <w:sz w:val="20"/>
          <w:szCs w:val="20"/>
          <w:lang w:val="en-US"/>
        </w:rPr>
        <w:t>Olivi</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13</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Y. Kew,</w:t>
      </w:r>
      <w:r w:rsidRPr="00036417">
        <w:rPr>
          <w:rFonts w:ascii="Times New Roman" w:hAnsi="Times New Roman" w:cs="Times New Roman"/>
          <w:color w:val="0D6B9B"/>
          <w:position w:val="10"/>
          <w:sz w:val="16"/>
          <w:szCs w:val="20"/>
          <w:lang w:val="en-US"/>
        </w:rPr>
        <w:t>14</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A. </w:t>
      </w:r>
      <w:proofErr w:type="spellStart"/>
      <w:r w:rsidRPr="00036417">
        <w:rPr>
          <w:rFonts w:ascii="Times New Roman" w:hAnsi="Times New Roman" w:cs="Times New Roman"/>
          <w:sz w:val="20"/>
          <w:szCs w:val="20"/>
          <w:lang w:val="en-US"/>
        </w:rPr>
        <w:t>Hottinger</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15</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M.E. </w:t>
      </w:r>
      <w:proofErr w:type="spellStart"/>
      <w:r w:rsidRPr="00036417">
        <w:rPr>
          <w:rFonts w:ascii="Times New Roman" w:hAnsi="Times New Roman" w:cs="Times New Roman"/>
          <w:sz w:val="20"/>
          <w:szCs w:val="20"/>
          <w:lang w:val="en-US"/>
        </w:rPr>
        <w:t>Hegi</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15</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E. </w:t>
      </w:r>
      <w:proofErr w:type="spellStart"/>
      <w:r w:rsidRPr="00036417">
        <w:rPr>
          <w:rFonts w:ascii="Times New Roman" w:hAnsi="Times New Roman" w:cs="Times New Roman"/>
          <w:sz w:val="20"/>
          <w:szCs w:val="20"/>
          <w:lang w:val="en-US"/>
        </w:rPr>
        <w:t>Kirson</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16</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 xml:space="preserve">G. </w:t>
      </w:r>
      <w:proofErr w:type="spellStart"/>
      <w:r w:rsidRPr="00036417">
        <w:rPr>
          <w:rFonts w:ascii="Times New Roman" w:hAnsi="Times New Roman" w:cs="Times New Roman"/>
          <w:sz w:val="20"/>
          <w:szCs w:val="20"/>
          <w:lang w:val="en-US"/>
        </w:rPr>
        <w:t>Lavy-Shahaf</w:t>
      </w:r>
      <w:proofErr w:type="spellEnd"/>
      <w:r w:rsidRPr="00036417">
        <w:rPr>
          <w:rFonts w:ascii="Times New Roman" w:hAnsi="Times New Roman" w:cs="Times New Roman"/>
          <w:sz w:val="20"/>
          <w:szCs w:val="20"/>
          <w:lang w:val="en-US"/>
        </w:rPr>
        <w:t>,</w:t>
      </w:r>
      <w:r w:rsidRPr="00036417">
        <w:rPr>
          <w:rFonts w:ascii="Times New Roman" w:hAnsi="Times New Roman" w:cs="Times New Roman"/>
          <w:color w:val="0D6B9B"/>
          <w:position w:val="10"/>
          <w:sz w:val="16"/>
          <w:szCs w:val="20"/>
          <w:lang w:val="en-US"/>
        </w:rPr>
        <w:t>16</w:t>
      </w:r>
      <w:r w:rsidRPr="00036417">
        <w:rPr>
          <w:rFonts w:ascii="Times New Roman" w:hAnsi="Times New Roman" w:cs="Times New Roman"/>
          <w:color w:val="0D6B9B"/>
          <w:position w:val="10"/>
          <w:sz w:val="20"/>
          <w:szCs w:val="20"/>
          <w:lang w:val="en-US"/>
        </w:rPr>
        <w:t xml:space="preserve"> </w:t>
      </w:r>
      <w:r w:rsidRPr="00036417">
        <w:rPr>
          <w:rFonts w:ascii="Times New Roman" w:hAnsi="Times New Roman" w:cs="Times New Roman"/>
          <w:sz w:val="20"/>
          <w:szCs w:val="20"/>
          <w:lang w:val="en-US"/>
        </w:rPr>
        <w:t>and Z. Ram</w:t>
      </w:r>
      <w:r w:rsidRPr="00036417">
        <w:rPr>
          <w:rFonts w:ascii="Times New Roman" w:hAnsi="Times New Roman" w:cs="Times New Roman"/>
          <w:color w:val="0D6B9B"/>
          <w:position w:val="10"/>
          <w:sz w:val="16"/>
          <w:szCs w:val="20"/>
          <w:lang w:val="en-US"/>
        </w:rPr>
        <w:t>17</w:t>
      </w:r>
      <w:r w:rsidRPr="00036417">
        <w:rPr>
          <w:rFonts w:ascii="Times New Roman" w:hAnsi="Times New Roman" w:cs="Times New Roman"/>
          <w:sz w:val="20"/>
          <w:szCs w:val="20"/>
          <w:lang w:val="en-US"/>
        </w:rPr>
        <w:t xml:space="preserve">; </w:t>
      </w:r>
    </w:p>
    <w:p w:rsidR="00036417" w:rsidRPr="00036417" w:rsidRDefault="00036417" w:rsidP="00036417">
      <w:pPr>
        <w:widowControl w:val="0"/>
        <w:tabs>
          <w:tab w:val="left" w:pos="220"/>
          <w:tab w:val="left" w:pos="720"/>
        </w:tabs>
        <w:autoSpaceDE w:val="0"/>
        <w:autoSpaceDN w:val="0"/>
        <w:adjustRightInd w:val="0"/>
        <w:spacing w:after="240"/>
        <w:ind w:left="720"/>
        <w:rPr>
          <w:rFonts w:ascii="Times New Roman" w:hAnsi="Times New Roman" w:cs="Times New Roman"/>
          <w:i/>
          <w:sz w:val="20"/>
          <w:szCs w:val="20"/>
          <w:lang w:val="en-US"/>
        </w:rPr>
      </w:pPr>
      <w:r w:rsidRPr="00036417">
        <w:rPr>
          <w:rFonts w:ascii="Times New Roman" w:hAnsi="Times New Roman" w:cs="Times New Roman"/>
          <w:i/>
          <w:position w:val="10"/>
          <w:sz w:val="16"/>
          <w:szCs w:val="20"/>
          <w:lang w:val="en-US"/>
        </w:rPr>
        <w:t>1</w:t>
      </w:r>
      <w:r w:rsidR="00992E01">
        <w:rPr>
          <w:rFonts w:ascii="Times New Roman" w:hAnsi="Times New Roman" w:cs="Times New Roman"/>
          <w:i/>
          <w:sz w:val="20"/>
          <w:szCs w:val="20"/>
          <w:lang w:val="en-US"/>
        </w:rPr>
        <w:t xml:space="preserve">Northwestern University, </w:t>
      </w:r>
      <w:r w:rsidRPr="00036417">
        <w:rPr>
          <w:rFonts w:ascii="Times New Roman" w:hAnsi="Times New Roman" w:cs="Times New Roman"/>
          <w:i/>
          <w:sz w:val="20"/>
          <w:szCs w:val="20"/>
          <w:lang w:val="en-US"/>
        </w:rPr>
        <w:t xml:space="preserve">Chicago, IL, </w:t>
      </w:r>
      <w:r w:rsidRPr="00036417">
        <w:rPr>
          <w:rFonts w:ascii="Times New Roman" w:hAnsi="Times New Roman" w:cs="Times New Roman"/>
          <w:i/>
          <w:position w:val="10"/>
          <w:sz w:val="16"/>
          <w:szCs w:val="20"/>
          <w:lang w:val="en-US"/>
        </w:rPr>
        <w:t>2</w:t>
      </w:r>
      <w:r w:rsidRPr="00036417">
        <w:rPr>
          <w:rFonts w:ascii="Times New Roman" w:hAnsi="Times New Roman" w:cs="Times New Roman"/>
          <w:i/>
          <w:sz w:val="20"/>
          <w:szCs w:val="20"/>
          <w:lang w:val="en-US"/>
        </w:rPr>
        <w:t xml:space="preserve">Leiden University Medical Center, Leiden, Netherlands, </w:t>
      </w:r>
      <w:r w:rsidRPr="00036417">
        <w:rPr>
          <w:rFonts w:ascii="Times New Roman" w:hAnsi="Times New Roman" w:cs="Times New Roman"/>
          <w:i/>
          <w:position w:val="10"/>
          <w:sz w:val="16"/>
          <w:szCs w:val="20"/>
          <w:lang w:val="en-US"/>
        </w:rPr>
        <w:t>3</w:t>
      </w:r>
      <w:r w:rsidRPr="00036417">
        <w:rPr>
          <w:rFonts w:ascii="Times New Roman" w:hAnsi="Times New Roman" w:cs="Times New Roman"/>
          <w:i/>
          <w:sz w:val="20"/>
          <w:szCs w:val="20"/>
          <w:lang w:val="en-US"/>
        </w:rPr>
        <w:t xml:space="preserve">Hospital </w:t>
      </w:r>
      <w:proofErr w:type="spellStart"/>
      <w:r w:rsidRPr="00036417">
        <w:rPr>
          <w:rFonts w:ascii="Times New Roman" w:hAnsi="Times New Roman" w:cs="Times New Roman"/>
          <w:i/>
          <w:sz w:val="20"/>
          <w:szCs w:val="20"/>
          <w:lang w:val="en-US"/>
        </w:rPr>
        <w:t>Universitaire</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Pitie</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Salpetriere</w:t>
      </w:r>
      <w:proofErr w:type="spellEnd"/>
      <w:r w:rsidRPr="00036417">
        <w:rPr>
          <w:rFonts w:ascii="Times New Roman" w:hAnsi="Times New Roman" w:cs="Times New Roman"/>
          <w:i/>
          <w:sz w:val="20"/>
          <w:szCs w:val="20"/>
          <w:lang w:val="en-US"/>
        </w:rPr>
        <w:t>, Paris, France,</w:t>
      </w:r>
      <w:r w:rsidRPr="00036417">
        <w:rPr>
          <w:rFonts w:ascii="Times New Roman" w:hAnsi="Times New Roman" w:cs="Times New Roman"/>
          <w:i/>
          <w:position w:val="10"/>
          <w:sz w:val="16"/>
          <w:szCs w:val="20"/>
          <w:lang w:val="en-US"/>
        </w:rPr>
        <w:t>4</w:t>
      </w:r>
      <w:r w:rsidRPr="00036417">
        <w:rPr>
          <w:rFonts w:ascii="Times New Roman" w:hAnsi="Times New Roman" w:cs="Times New Roman"/>
          <w:i/>
          <w:sz w:val="20"/>
          <w:szCs w:val="20"/>
          <w:lang w:val="en-US"/>
        </w:rPr>
        <w:t xml:space="preserve">Hospices </w:t>
      </w:r>
      <w:proofErr w:type="spellStart"/>
      <w:r w:rsidRPr="00036417">
        <w:rPr>
          <w:rFonts w:ascii="Times New Roman" w:hAnsi="Times New Roman" w:cs="Times New Roman"/>
          <w:i/>
          <w:sz w:val="20"/>
          <w:szCs w:val="20"/>
          <w:lang w:val="en-US"/>
        </w:rPr>
        <w:t>Civils</w:t>
      </w:r>
      <w:proofErr w:type="spellEnd"/>
      <w:r w:rsidRPr="00036417">
        <w:rPr>
          <w:rFonts w:ascii="Times New Roman" w:hAnsi="Times New Roman" w:cs="Times New Roman"/>
          <w:i/>
          <w:sz w:val="20"/>
          <w:szCs w:val="20"/>
          <w:lang w:val="en-US"/>
        </w:rPr>
        <w:t xml:space="preserve"> de Lyon, University Claude Bernard Lyon, Lyon, France, </w:t>
      </w:r>
      <w:r w:rsidRPr="00036417">
        <w:rPr>
          <w:rFonts w:ascii="Times New Roman" w:hAnsi="Times New Roman" w:cs="Times New Roman"/>
          <w:i/>
          <w:position w:val="10"/>
          <w:sz w:val="16"/>
          <w:szCs w:val="20"/>
          <w:lang w:val="en-US"/>
        </w:rPr>
        <w:t>5</w:t>
      </w:r>
      <w:r w:rsidR="00992E01">
        <w:rPr>
          <w:rFonts w:ascii="Times New Roman" w:hAnsi="Times New Roman" w:cs="Times New Roman"/>
          <w:i/>
          <w:sz w:val="20"/>
          <w:szCs w:val="20"/>
          <w:lang w:val="en-US"/>
        </w:rPr>
        <w:t xml:space="preserve">University of </w:t>
      </w:r>
      <w:r w:rsidRPr="00036417">
        <w:rPr>
          <w:rFonts w:ascii="Times New Roman" w:hAnsi="Times New Roman" w:cs="Times New Roman"/>
          <w:i/>
          <w:sz w:val="20"/>
          <w:szCs w:val="20"/>
          <w:lang w:val="en-US"/>
        </w:rPr>
        <w:t xml:space="preserve">Southern California, Los Angeles, CA, </w:t>
      </w:r>
      <w:r w:rsidRPr="00036417">
        <w:rPr>
          <w:rFonts w:ascii="Times New Roman" w:hAnsi="Times New Roman" w:cs="Times New Roman"/>
          <w:i/>
          <w:position w:val="10"/>
          <w:sz w:val="16"/>
          <w:szCs w:val="20"/>
          <w:lang w:val="en-US"/>
        </w:rPr>
        <w:t>6</w:t>
      </w:r>
      <w:r w:rsidRPr="00036417">
        <w:rPr>
          <w:rFonts w:ascii="Times New Roman" w:hAnsi="Times New Roman" w:cs="Times New Roman"/>
          <w:i/>
          <w:sz w:val="20"/>
          <w:szCs w:val="20"/>
          <w:lang w:val="en-US"/>
        </w:rPr>
        <w:t xml:space="preserve">Na </w:t>
      </w:r>
      <w:proofErr w:type="spellStart"/>
      <w:r w:rsidRPr="00036417">
        <w:rPr>
          <w:rFonts w:ascii="Times New Roman" w:hAnsi="Times New Roman" w:cs="Times New Roman"/>
          <w:i/>
          <w:sz w:val="20"/>
          <w:szCs w:val="20"/>
          <w:lang w:val="en-US"/>
        </w:rPr>
        <w:t>Homolce</w:t>
      </w:r>
      <w:proofErr w:type="spellEnd"/>
      <w:r w:rsidRPr="00036417">
        <w:rPr>
          <w:rFonts w:ascii="Times New Roman" w:hAnsi="Times New Roman" w:cs="Times New Roman"/>
          <w:i/>
          <w:sz w:val="20"/>
          <w:szCs w:val="20"/>
          <w:lang w:val="en-US"/>
        </w:rPr>
        <w:t xml:space="preserve"> Hospital, Prague, Czech Republic, </w:t>
      </w:r>
      <w:r w:rsidRPr="00036417">
        <w:rPr>
          <w:rFonts w:ascii="Times New Roman" w:hAnsi="Times New Roman" w:cs="Times New Roman"/>
          <w:i/>
          <w:position w:val="10"/>
          <w:sz w:val="16"/>
          <w:szCs w:val="20"/>
          <w:lang w:val="en-US"/>
        </w:rPr>
        <w:t>7</w:t>
      </w:r>
      <w:r w:rsidRPr="00036417">
        <w:rPr>
          <w:rFonts w:ascii="Times New Roman" w:hAnsi="Times New Roman" w:cs="Times New Roman"/>
          <w:i/>
          <w:sz w:val="20"/>
          <w:szCs w:val="20"/>
          <w:lang w:val="en-US"/>
        </w:rPr>
        <w:t xml:space="preserve">Seoul National University Hospital (SNUH), Seoul,  Korea, Republic of (South), </w:t>
      </w:r>
      <w:r w:rsidRPr="00036417">
        <w:rPr>
          <w:rFonts w:ascii="Times New Roman" w:hAnsi="Times New Roman" w:cs="Times New Roman"/>
          <w:i/>
          <w:position w:val="10"/>
          <w:sz w:val="16"/>
          <w:szCs w:val="20"/>
          <w:lang w:val="en-US"/>
        </w:rPr>
        <w:t>8</w:t>
      </w:r>
      <w:proofErr w:type="spellStart"/>
      <w:r w:rsidRPr="00036417">
        <w:rPr>
          <w:rFonts w:ascii="Times New Roman" w:hAnsi="Times New Roman" w:cs="Times New Roman"/>
          <w:i/>
          <w:sz w:val="20"/>
          <w:szCs w:val="20"/>
          <w:lang w:val="en-US"/>
        </w:rPr>
        <w:t>Bellvitge</w:t>
      </w:r>
      <w:proofErr w:type="spellEnd"/>
      <w:r w:rsidRPr="00036417">
        <w:rPr>
          <w:rFonts w:ascii="Times New Roman" w:hAnsi="Times New Roman" w:cs="Times New Roman"/>
          <w:i/>
          <w:sz w:val="20"/>
          <w:szCs w:val="20"/>
          <w:lang w:val="en-US"/>
        </w:rPr>
        <w:t xml:space="preserve"> Hospital </w:t>
      </w:r>
      <w:proofErr w:type="spellStart"/>
      <w:r w:rsidRPr="00036417">
        <w:rPr>
          <w:rFonts w:ascii="Times New Roman" w:hAnsi="Times New Roman" w:cs="Times New Roman"/>
          <w:i/>
          <w:sz w:val="20"/>
          <w:szCs w:val="20"/>
          <w:lang w:val="en-US"/>
        </w:rPr>
        <w:t>Universitari</w:t>
      </w:r>
      <w:proofErr w:type="spellEnd"/>
      <w:r w:rsidRPr="00036417">
        <w:rPr>
          <w:rFonts w:ascii="Times New Roman" w:hAnsi="Times New Roman" w:cs="Times New Roman"/>
          <w:i/>
          <w:sz w:val="20"/>
          <w:szCs w:val="20"/>
          <w:lang w:val="en-US"/>
        </w:rPr>
        <w:t xml:space="preserve">, Barcelona, Spain, </w:t>
      </w:r>
      <w:r w:rsidRPr="00036417">
        <w:rPr>
          <w:rFonts w:ascii="Times New Roman" w:hAnsi="Times New Roman" w:cs="Times New Roman"/>
          <w:i/>
          <w:position w:val="10"/>
          <w:sz w:val="16"/>
          <w:szCs w:val="20"/>
          <w:lang w:val="en-US"/>
        </w:rPr>
        <w:t>9</w:t>
      </w:r>
      <w:r w:rsidRPr="00036417">
        <w:rPr>
          <w:rFonts w:ascii="Times New Roman" w:hAnsi="Times New Roman" w:cs="Times New Roman"/>
          <w:i/>
          <w:sz w:val="20"/>
          <w:szCs w:val="20"/>
          <w:lang w:val="en-US"/>
        </w:rPr>
        <w:t xml:space="preserve">Tom Baker Cancer Centre, Calgary, AB, Canada, </w:t>
      </w:r>
      <w:r w:rsidRPr="00036417">
        <w:rPr>
          <w:rFonts w:ascii="Times New Roman" w:hAnsi="Times New Roman" w:cs="Times New Roman"/>
          <w:i/>
          <w:position w:val="10"/>
          <w:sz w:val="16"/>
          <w:szCs w:val="20"/>
          <w:lang w:val="en-US"/>
        </w:rPr>
        <w:t>10</w:t>
      </w:r>
      <w:proofErr w:type="spellStart"/>
      <w:r w:rsidRPr="00036417">
        <w:rPr>
          <w:rFonts w:ascii="Times New Roman" w:hAnsi="Times New Roman" w:cs="Times New Roman"/>
          <w:i/>
          <w:sz w:val="20"/>
          <w:szCs w:val="20"/>
          <w:lang w:val="en-US"/>
        </w:rPr>
        <w:t>Lahey</w:t>
      </w:r>
      <w:proofErr w:type="spellEnd"/>
      <w:r w:rsidRPr="00036417">
        <w:rPr>
          <w:rFonts w:ascii="Times New Roman" w:hAnsi="Times New Roman" w:cs="Times New Roman"/>
          <w:i/>
          <w:sz w:val="20"/>
          <w:szCs w:val="20"/>
          <w:lang w:val="en-US"/>
        </w:rPr>
        <w:t xml:space="preserve"> Clinic, Burlington, MA, </w:t>
      </w:r>
      <w:r w:rsidRPr="00036417">
        <w:rPr>
          <w:rFonts w:ascii="Times New Roman" w:hAnsi="Times New Roman" w:cs="Times New Roman"/>
          <w:i/>
          <w:position w:val="10"/>
          <w:sz w:val="16"/>
          <w:szCs w:val="20"/>
          <w:lang w:val="en-US"/>
        </w:rPr>
        <w:t>11</w:t>
      </w:r>
      <w:r w:rsidRPr="00036417">
        <w:rPr>
          <w:rFonts w:ascii="Times New Roman" w:hAnsi="Times New Roman" w:cs="Times New Roman"/>
          <w:i/>
          <w:sz w:val="20"/>
          <w:szCs w:val="20"/>
          <w:lang w:val="en-US"/>
        </w:rPr>
        <w:t xml:space="preserve">Seoul National University </w:t>
      </w:r>
      <w:proofErr w:type="spellStart"/>
      <w:r w:rsidRPr="00036417">
        <w:rPr>
          <w:rFonts w:ascii="Times New Roman" w:hAnsi="Times New Roman" w:cs="Times New Roman"/>
          <w:i/>
          <w:sz w:val="20"/>
          <w:szCs w:val="20"/>
          <w:lang w:val="en-US"/>
        </w:rPr>
        <w:t>Bundang</w:t>
      </w:r>
      <w:proofErr w:type="spellEnd"/>
      <w:r w:rsidRPr="00036417">
        <w:rPr>
          <w:rFonts w:ascii="Times New Roman" w:hAnsi="Times New Roman" w:cs="Times New Roman"/>
          <w:i/>
          <w:sz w:val="20"/>
          <w:szCs w:val="20"/>
          <w:lang w:val="en-US"/>
        </w:rPr>
        <w:t xml:space="preserve"> Hospital, </w:t>
      </w:r>
      <w:proofErr w:type="spellStart"/>
      <w:r w:rsidRPr="00036417">
        <w:rPr>
          <w:rFonts w:ascii="Times New Roman" w:hAnsi="Times New Roman" w:cs="Times New Roman"/>
          <w:i/>
          <w:sz w:val="20"/>
          <w:szCs w:val="20"/>
          <w:lang w:val="en-US"/>
        </w:rPr>
        <w:t>Bundang</w:t>
      </w:r>
      <w:proofErr w:type="spellEnd"/>
      <w:r w:rsidRPr="00036417">
        <w:rPr>
          <w:rFonts w:ascii="Times New Roman" w:hAnsi="Times New Roman" w:cs="Times New Roman"/>
          <w:i/>
          <w:sz w:val="20"/>
          <w:szCs w:val="20"/>
          <w:lang w:val="en-US"/>
        </w:rPr>
        <w:t xml:space="preserve">, Korea, Republic of (South), </w:t>
      </w:r>
      <w:r w:rsidRPr="00036417">
        <w:rPr>
          <w:rFonts w:ascii="Times New Roman" w:hAnsi="Times New Roman" w:cs="Times New Roman"/>
          <w:i/>
          <w:position w:val="10"/>
          <w:sz w:val="16"/>
          <w:szCs w:val="20"/>
          <w:lang w:val="en-US"/>
        </w:rPr>
        <w:t>12</w:t>
      </w:r>
      <w:r w:rsidRPr="00036417">
        <w:rPr>
          <w:rFonts w:ascii="Times New Roman" w:hAnsi="Times New Roman" w:cs="Times New Roman"/>
          <w:i/>
          <w:sz w:val="20"/>
          <w:szCs w:val="20"/>
          <w:lang w:val="en-US"/>
        </w:rPr>
        <w:t xml:space="preserve">Maine Medical Center (MMC), Scarborough, ME, </w:t>
      </w:r>
      <w:r w:rsidRPr="00036417">
        <w:rPr>
          <w:rFonts w:ascii="Times New Roman" w:hAnsi="Times New Roman" w:cs="Times New Roman"/>
          <w:i/>
          <w:position w:val="10"/>
          <w:sz w:val="16"/>
          <w:szCs w:val="20"/>
          <w:lang w:val="en-US"/>
        </w:rPr>
        <w:t>13</w:t>
      </w:r>
      <w:proofErr w:type="spellStart"/>
      <w:r w:rsidRPr="00036417">
        <w:rPr>
          <w:rFonts w:ascii="Times New Roman" w:hAnsi="Times New Roman" w:cs="Times New Roman"/>
          <w:i/>
          <w:sz w:val="20"/>
          <w:szCs w:val="20"/>
          <w:lang w:val="en-US"/>
        </w:rPr>
        <w:t>Universita</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Cattolicae</w:t>
      </w:r>
      <w:proofErr w:type="spellEnd"/>
      <w:r w:rsidRPr="00036417">
        <w:rPr>
          <w:rFonts w:ascii="Times New Roman" w:hAnsi="Times New Roman" w:cs="Times New Roman"/>
          <w:i/>
          <w:sz w:val="20"/>
          <w:szCs w:val="20"/>
          <w:lang w:val="en-US"/>
        </w:rPr>
        <w:t xml:space="preserve"> del </w:t>
      </w:r>
      <w:proofErr w:type="spellStart"/>
      <w:r w:rsidRPr="00036417">
        <w:rPr>
          <w:rFonts w:ascii="Times New Roman" w:hAnsi="Times New Roman" w:cs="Times New Roman"/>
          <w:i/>
          <w:sz w:val="20"/>
          <w:szCs w:val="20"/>
          <w:lang w:val="en-US"/>
        </w:rPr>
        <w:t>Sacro</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Cuore</w:t>
      </w:r>
      <w:proofErr w:type="spellEnd"/>
      <w:r w:rsidRPr="00036417">
        <w:rPr>
          <w:rFonts w:ascii="Times New Roman" w:hAnsi="Times New Roman" w:cs="Times New Roman"/>
          <w:i/>
          <w:sz w:val="20"/>
          <w:szCs w:val="20"/>
          <w:lang w:val="en-US"/>
        </w:rPr>
        <w:t xml:space="preserve">, Rome, Italy, </w:t>
      </w:r>
      <w:r w:rsidRPr="00036417">
        <w:rPr>
          <w:rFonts w:ascii="Times New Roman" w:hAnsi="Times New Roman" w:cs="Times New Roman"/>
          <w:i/>
          <w:position w:val="10"/>
          <w:sz w:val="16"/>
          <w:szCs w:val="20"/>
          <w:lang w:val="en-US"/>
        </w:rPr>
        <w:t>14</w:t>
      </w:r>
      <w:r w:rsidRPr="00036417">
        <w:rPr>
          <w:rFonts w:ascii="Times New Roman" w:hAnsi="Times New Roman" w:cs="Times New Roman"/>
          <w:i/>
          <w:sz w:val="20"/>
          <w:szCs w:val="20"/>
          <w:lang w:val="en-US"/>
        </w:rPr>
        <w:t xml:space="preserve">Methodist Hospital, Houston, TX, </w:t>
      </w:r>
      <w:r w:rsidRPr="00036417">
        <w:rPr>
          <w:rFonts w:ascii="Times New Roman" w:hAnsi="Times New Roman" w:cs="Times New Roman"/>
          <w:i/>
          <w:position w:val="10"/>
          <w:sz w:val="16"/>
          <w:szCs w:val="20"/>
          <w:lang w:val="en-US"/>
        </w:rPr>
        <w:t>15</w:t>
      </w:r>
      <w:r w:rsidRPr="00036417">
        <w:rPr>
          <w:rFonts w:ascii="Times New Roman" w:hAnsi="Times New Roman" w:cs="Times New Roman"/>
          <w:i/>
          <w:sz w:val="20"/>
          <w:szCs w:val="20"/>
          <w:lang w:val="en-US"/>
        </w:rPr>
        <w:t xml:space="preserve">Centre </w:t>
      </w:r>
      <w:proofErr w:type="spellStart"/>
      <w:r w:rsidRPr="00036417">
        <w:rPr>
          <w:rFonts w:ascii="Times New Roman" w:hAnsi="Times New Roman" w:cs="Times New Roman"/>
          <w:i/>
          <w:sz w:val="20"/>
          <w:szCs w:val="20"/>
          <w:lang w:val="en-US"/>
        </w:rPr>
        <w:t>Hospitalier</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Universitaire</w:t>
      </w:r>
      <w:proofErr w:type="spellEnd"/>
      <w:r w:rsidRPr="00036417">
        <w:rPr>
          <w:rFonts w:ascii="Times New Roman" w:hAnsi="Times New Roman" w:cs="Times New Roman"/>
          <w:i/>
          <w:sz w:val="20"/>
          <w:szCs w:val="20"/>
          <w:lang w:val="en-US"/>
        </w:rPr>
        <w:t xml:space="preserve"> </w:t>
      </w:r>
      <w:proofErr w:type="spellStart"/>
      <w:r w:rsidRPr="00036417">
        <w:rPr>
          <w:rFonts w:ascii="Times New Roman" w:hAnsi="Times New Roman" w:cs="Times New Roman"/>
          <w:i/>
          <w:sz w:val="20"/>
          <w:szCs w:val="20"/>
          <w:lang w:val="en-US"/>
        </w:rPr>
        <w:t>Vaudois</w:t>
      </w:r>
      <w:proofErr w:type="spellEnd"/>
      <w:r w:rsidRPr="00036417">
        <w:rPr>
          <w:rFonts w:ascii="Times New Roman" w:hAnsi="Times New Roman" w:cs="Times New Roman"/>
          <w:i/>
          <w:sz w:val="20"/>
          <w:szCs w:val="20"/>
          <w:lang w:val="en-US"/>
        </w:rPr>
        <w:t xml:space="preserve"> - CHUV, Lausanne, Switzerland, </w:t>
      </w:r>
      <w:r w:rsidRPr="00036417">
        <w:rPr>
          <w:rFonts w:ascii="Times New Roman" w:hAnsi="Times New Roman" w:cs="Times New Roman"/>
          <w:i/>
          <w:position w:val="10"/>
          <w:sz w:val="16"/>
          <w:szCs w:val="20"/>
          <w:lang w:val="en-US"/>
        </w:rPr>
        <w:t>16</w:t>
      </w:r>
      <w:proofErr w:type="spellStart"/>
      <w:r w:rsidRPr="00036417">
        <w:rPr>
          <w:rFonts w:ascii="Times New Roman" w:hAnsi="Times New Roman" w:cs="Times New Roman"/>
          <w:i/>
          <w:sz w:val="20"/>
          <w:szCs w:val="20"/>
          <w:lang w:val="en-US"/>
        </w:rPr>
        <w:t>Novocure</w:t>
      </w:r>
      <w:proofErr w:type="spellEnd"/>
      <w:r w:rsidRPr="00036417">
        <w:rPr>
          <w:rFonts w:ascii="Times New Roman" w:hAnsi="Times New Roman" w:cs="Times New Roman"/>
          <w:i/>
          <w:sz w:val="20"/>
          <w:szCs w:val="20"/>
          <w:lang w:val="en-US"/>
        </w:rPr>
        <w:t xml:space="preserve">, Haifa, Israel, </w:t>
      </w:r>
      <w:r w:rsidRPr="00036417">
        <w:rPr>
          <w:rFonts w:ascii="Times New Roman" w:hAnsi="Times New Roman" w:cs="Times New Roman"/>
          <w:i/>
          <w:position w:val="10"/>
          <w:sz w:val="16"/>
          <w:szCs w:val="20"/>
          <w:lang w:val="en-US"/>
        </w:rPr>
        <w:t>17</w:t>
      </w:r>
      <w:r w:rsidRPr="00036417">
        <w:rPr>
          <w:rFonts w:ascii="Times New Roman" w:hAnsi="Times New Roman" w:cs="Times New Roman"/>
          <w:i/>
          <w:sz w:val="20"/>
          <w:szCs w:val="20"/>
          <w:lang w:val="en-US"/>
        </w:rPr>
        <w:t xml:space="preserve">Tel Aviv Medical Center, Tel Aviv, Israel </w:t>
      </w:r>
    </w:p>
    <w:p w:rsidR="00036417" w:rsidRPr="00036417" w:rsidRDefault="00036417">
      <w:pPr>
        <w:rPr>
          <w:rFonts w:ascii="Times New Roman" w:hAnsi="Times New Roman" w:cs="Times New Roman"/>
          <w:sz w:val="20"/>
          <w:szCs w:val="20"/>
        </w:rPr>
      </w:pPr>
    </w:p>
    <w:p w:rsidR="00036417" w:rsidRDefault="00036417" w:rsidP="002D0ED4">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036417">
        <w:rPr>
          <w:rFonts w:ascii="Times New Roman" w:hAnsi="Times New Roman" w:cs="Times New Roman"/>
          <w:b/>
          <w:sz w:val="20"/>
          <w:szCs w:val="20"/>
          <w:lang w:val="en-US"/>
        </w:rPr>
        <w:t>Purpose/Objective(s):</w:t>
      </w:r>
      <w:r w:rsidRPr="00036417">
        <w:rPr>
          <w:rFonts w:ascii="Times New Roman" w:hAnsi="Times New Roman" w:cs="Times New Roman"/>
          <w:sz w:val="20"/>
          <w:szCs w:val="20"/>
          <w:lang w:val="en-US"/>
        </w:rPr>
        <w:t xml:space="preserve"> Tumor treating fields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is a novel non-ionizing radiation cancer treatment modality using a patient-operated home-use device that delivers 200 kHz alternating electrical fields to the brain.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interfere with cell division and selectively disrupt mitosis by interfering with the spatial alignment of polar macromolecules within the cell.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also inhibit DNA damage repair of double strand breaks. Maintenance of quality of life during ther</w:t>
      </w:r>
      <w:r w:rsidR="00992E01">
        <w:rPr>
          <w:rFonts w:ascii="Times New Roman" w:hAnsi="Times New Roman" w:cs="Times New Roman"/>
          <w:sz w:val="20"/>
          <w:szCs w:val="20"/>
          <w:lang w:val="en-US"/>
        </w:rPr>
        <w:t xml:space="preserve">apy with </w:t>
      </w:r>
      <w:proofErr w:type="spellStart"/>
      <w:r w:rsidR="00992E01">
        <w:rPr>
          <w:rFonts w:ascii="Times New Roman" w:hAnsi="Times New Roman" w:cs="Times New Roman"/>
          <w:sz w:val="20"/>
          <w:szCs w:val="20"/>
          <w:lang w:val="en-US"/>
        </w:rPr>
        <w:t>TTFields</w:t>
      </w:r>
      <w:proofErr w:type="spellEnd"/>
      <w:r w:rsidR="00992E01">
        <w:rPr>
          <w:rFonts w:ascii="Times New Roman" w:hAnsi="Times New Roman" w:cs="Times New Roman"/>
          <w:sz w:val="20"/>
          <w:szCs w:val="20"/>
          <w:lang w:val="en-US"/>
        </w:rPr>
        <w:t xml:space="preserve"> was compared </w:t>
      </w:r>
      <w:r w:rsidRPr="00036417">
        <w:rPr>
          <w:rFonts w:ascii="Times New Roman" w:hAnsi="Times New Roman" w:cs="Times New Roman"/>
          <w:sz w:val="20"/>
          <w:szCs w:val="20"/>
          <w:lang w:val="en-US"/>
        </w:rPr>
        <w:t xml:space="preserve">to standard therapy alone. </w:t>
      </w:r>
    </w:p>
    <w:p w:rsidR="00036417" w:rsidRPr="00036417" w:rsidRDefault="00036417" w:rsidP="002D0ED4">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036417">
        <w:rPr>
          <w:rFonts w:ascii="Times New Roman" w:hAnsi="Times New Roman" w:cs="Times New Roman"/>
          <w:b/>
          <w:sz w:val="20"/>
          <w:szCs w:val="20"/>
          <w:lang w:val="en-US"/>
        </w:rPr>
        <w:t>Materials/Methods:</w:t>
      </w:r>
      <w:r w:rsidRPr="00036417">
        <w:rPr>
          <w:rFonts w:ascii="Times New Roman" w:hAnsi="Times New Roman" w:cs="Times New Roman"/>
          <w:sz w:val="20"/>
          <w:szCs w:val="20"/>
          <w:lang w:val="en-US"/>
        </w:rPr>
        <w:t xml:space="preserve">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were tested in a large phase 3 trial in patients wit</w:t>
      </w:r>
      <w:r w:rsidR="00992E01">
        <w:rPr>
          <w:rFonts w:ascii="Times New Roman" w:hAnsi="Times New Roman" w:cs="Times New Roman"/>
          <w:sz w:val="20"/>
          <w:szCs w:val="20"/>
          <w:lang w:val="en-US"/>
        </w:rPr>
        <w:t>h newly diagnosed GBM (EF-14; n=</w:t>
      </w:r>
      <w:r w:rsidRPr="00036417">
        <w:rPr>
          <w:rFonts w:ascii="Times New Roman" w:hAnsi="Times New Roman" w:cs="Times New Roman"/>
          <w:sz w:val="20"/>
          <w:szCs w:val="20"/>
          <w:lang w:val="en-US"/>
        </w:rPr>
        <w:t xml:space="preserve">695). Patients who had completed </w:t>
      </w:r>
      <w:proofErr w:type="spellStart"/>
      <w:r w:rsidRPr="00036417">
        <w:rPr>
          <w:rFonts w:ascii="Times New Roman" w:hAnsi="Times New Roman" w:cs="Times New Roman"/>
          <w:sz w:val="20"/>
          <w:szCs w:val="20"/>
          <w:lang w:val="en-US"/>
        </w:rPr>
        <w:t>radiochemotherapy</w:t>
      </w:r>
      <w:proofErr w:type="spellEnd"/>
      <w:r w:rsidRPr="00036417">
        <w:rPr>
          <w:rFonts w:ascii="Times New Roman" w:hAnsi="Times New Roman" w:cs="Times New Roman"/>
          <w:sz w:val="20"/>
          <w:szCs w:val="20"/>
          <w:lang w:val="en-US"/>
        </w:rPr>
        <w:t xml:space="preserve"> were ran</w:t>
      </w:r>
      <w:r>
        <w:rPr>
          <w:rFonts w:ascii="Times New Roman" w:hAnsi="Times New Roman" w:cs="Times New Roman"/>
          <w:sz w:val="20"/>
          <w:szCs w:val="20"/>
          <w:lang w:val="en-US"/>
        </w:rPr>
        <w:t xml:space="preserve">domized to either standard </w:t>
      </w:r>
      <w:proofErr w:type="spellStart"/>
      <w:r>
        <w:rPr>
          <w:rFonts w:ascii="Times New Roman" w:hAnsi="Times New Roman" w:cs="Times New Roman"/>
          <w:sz w:val="20"/>
          <w:szCs w:val="20"/>
          <w:lang w:val="en-US"/>
        </w:rPr>
        <w:t>temo</w:t>
      </w:r>
      <w:r w:rsidRPr="00036417">
        <w:rPr>
          <w:rFonts w:ascii="Times New Roman" w:hAnsi="Times New Roman" w:cs="Times New Roman"/>
          <w:sz w:val="20"/>
          <w:szCs w:val="20"/>
          <w:lang w:val="en-US"/>
        </w:rPr>
        <w:t>zolomide</w:t>
      </w:r>
      <w:proofErr w:type="spellEnd"/>
      <w:r w:rsidRPr="00036417">
        <w:rPr>
          <w:rFonts w:ascii="Times New Roman" w:hAnsi="Times New Roman" w:cs="Times New Roman"/>
          <w:sz w:val="20"/>
          <w:szCs w:val="20"/>
          <w:lang w:val="en-US"/>
        </w:rPr>
        <w:t xml:space="preserve"> (TMZ) chemotherapy alo</w:t>
      </w:r>
      <w:r>
        <w:rPr>
          <w:rFonts w:ascii="Times New Roman" w:hAnsi="Times New Roman" w:cs="Times New Roman"/>
          <w:sz w:val="20"/>
          <w:szCs w:val="20"/>
          <w:lang w:val="en-US"/>
        </w:rPr>
        <w:t xml:space="preserve">ne, or to </w:t>
      </w:r>
      <w:proofErr w:type="spellStart"/>
      <w:r>
        <w:rPr>
          <w:rFonts w:ascii="Times New Roman" w:hAnsi="Times New Roman" w:cs="Times New Roman"/>
          <w:sz w:val="20"/>
          <w:szCs w:val="20"/>
          <w:lang w:val="en-US"/>
        </w:rPr>
        <w:t>TTFields</w:t>
      </w:r>
      <w:proofErr w:type="spellEnd"/>
      <w:r>
        <w:rPr>
          <w:rFonts w:ascii="Times New Roman" w:hAnsi="Times New Roman" w:cs="Times New Roman"/>
          <w:sz w:val="20"/>
          <w:szCs w:val="20"/>
          <w:lang w:val="en-US"/>
        </w:rPr>
        <w:t xml:space="preserve"> and TMZ. Pro</w:t>
      </w:r>
      <w:r w:rsidRPr="00036417">
        <w:rPr>
          <w:rFonts w:ascii="Times New Roman" w:hAnsi="Times New Roman" w:cs="Times New Roman"/>
          <w:sz w:val="20"/>
          <w:szCs w:val="20"/>
          <w:lang w:val="en-US"/>
        </w:rPr>
        <w:t xml:space="preserve">gression-free and overall </w:t>
      </w:r>
      <w:proofErr w:type="gramStart"/>
      <w:r w:rsidRPr="00036417">
        <w:rPr>
          <w:rFonts w:ascii="Times New Roman" w:hAnsi="Times New Roman" w:cs="Times New Roman"/>
          <w:sz w:val="20"/>
          <w:szCs w:val="20"/>
          <w:lang w:val="en-US"/>
        </w:rPr>
        <w:t>survival were</w:t>
      </w:r>
      <w:proofErr w:type="gramEnd"/>
      <w:r w:rsidRPr="00036417">
        <w:rPr>
          <w:rFonts w:ascii="Times New Roman" w:hAnsi="Times New Roman" w:cs="Times New Roman"/>
          <w:sz w:val="20"/>
          <w:szCs w:val="20"/>
          <w:lang w:val="en-US"/>
        </w:rPr>
        <w:t xml:space="preserve"> the main endpoints, with qua</w:t>
      </w:r>
      <w:bookmarkStart w:id="0" w:name="_GoBack"/>
      <w:bookmarkEnd w:id="0"/>
      <w:r w:rsidRPr="00036417">
        <w:rPr>
          <w:rFonts w:ascii="Times New Roman" w:hAnsi="Times New Roman" w:cs="Times New Roman"/>
          <w:sz w:val="20"/>
          <w:szCs w:val="20"/>
          <w:lang w:val="en-US"/>
        </w:rPr>
        <w:t>lity of life (</w:t>
      </w:r>
      <w:proofErr w:type="spellStart"/>
      <w:r w:rsidRPr="00036417">
        <w:rPr>
          <w:rFonts w:ascii="Times New Roman" w:hAnsi="Times New Roman" w:cs="Times New Roman"/>
          <w:sz w:val="20"/>
          <w:szCs w:val="20"/>
          <w:lang w:val="en-US"/>
        </w:rPr>
        <w:t>QoL</w:t>
      </w:r>
      <w:proofErr w:type="spellEnd"/>
      <w:r w:rsidRPr="00036417">
        <w:rPr>
          <w:rFonts w:ascii="Times New Roman" w:hAnsi="Times New Roman" w:cs="Times New Roman"/>
          <w:sz w:val="20"/>
          <w:szCs w:val="20"/>
          <w:lang w:val="en-US"/>
        </w:rPr>
        <w:t xml:space="preserve">) as a predefined and important secondary endpoint. </w:t>
      </w:r>
      <w:proofErr w:type="spellStart"/>
      <w:r w:rsidRPr="00036417">
        <w:rPr>
          <w:rFonts w:ascii="Times New Roman" w:hAnsi="Times New Roman" w:cs="Times New Roman"/>
          <w:sz w:val="20"/>
          <w:szCs w:val="20"/>
          <w:lang w:val="en-US"/>
        </w:rPr>
        <w:t>QoL</w:t>
      </w:r>
      <w:proofErr w:type="spellEnd"/>
      <w:r w:rsidRPr="00036417">
        <w:rPr>
          <w:rFonts w:ascii="Times New Roman" w:hAnsi="Times New Roman" w:cs="Times New Roman"/>
          <w:sz w:val="20"/>
          <w:szCs w:val="20"/>
          <w:lang w:val="en-US"/>
        </w:rPr>
        <w:t xml:space="preserve"> was assessed longitudinally using the EORTC QLQ C-30 with brain cancer </w:t>
      </w:r>
      <w:r w:rsidR="00992E01">
        <w:rPr>
          <w:rFonts w:ascii="Times New Roman" w:hAnsi="Times New Roman" w:cs="Times New Roman"/>
          <w:sz w:val="20"/>
          <w:szCs w:val="20"/>
          <w:lang w:val="en-US"/>
        </w:rPr>
        <w:t xml:space="preserve">module (BN-20) questionnaires. </w:t>
      </w:r>
    </w:p>
    <w:p w:rsidR="00CE759C" w:rsidRDefault="00036417" w:rsidP="002D0ED4">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CE759C">
        <w:rPr>
          <w:rFonts w:ascii="Times New Roman" w:hAnsi="Times New Roman" w:cs="Times New Roman"/>
          <w:b/>
          <w:sz w:val="20"/>
          <w:szCs w:val="20"/>
          <w:lang w:val="en-US"/>
        </w:rPr>
        <w:t>Results:</w:t>
      </w:r>
      <w:r w:rsidRPr="00036417">
        <w:rPr>
          <w:rFonts w:ascii="Times New Roman" w:hAnsi="Times New Roman" w:cs="Times New Roman"/>
          <w:sz w:val="20"/>
          <w:szCs w:val="20"/>
          <w:lang w:val="en-US"/>
        </w:rPr>
        <w:t xml:space="preserve">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added to standard adjuvant </w:t>
      </w:r>
      <w:proofErr w:type="spellStart"/>
      <w:r w:rsidRPr="00036417">
        <w:rPr>
          <w:rFonts w:ascii="Times New Roman" w:hAnsi="Times New Roman" w:cs="Times New Roman"/>
          <w:sz w:val="20"/>
          <w:szCs w:val="20"/>
          <w:lang w:val="en-US"/>
        </w:rPr>
        <w:t>temozolomide</w:t>
      </w:r>
      <w:proofErr w:type="spellEnd"/>
      <w:r w:rsidRPr="00036417">
        <w:rPr>
          <w:rFonts w:ascii="Times New Roman" w:hAnsi="Times New Roman" w:cs="Times New Roman"/>
          <w:sz w:val="20"/>
          <w:szCs w:val="20"/>
          <w:lang w:val="en-US"/>
        </w:rPr>
        <w:t xml:space="preserve"> (TMZ) chemotherapy led to a significant prolongatio</w:t>
      </w:r>
      <w:r w:rsidR="00992E01">
        <w:rPr>
          <w:rFonts w:ascii="Times New Roman" w:hAnsi="Times New Roman" w:cs="Times New Roman"/>
          <w:sz w:val="20"/>
          <w:szCs w:val="20"/>
          <w:lang w:val="en-US"/>
        </w:rPr>
        <w:t xml:space="preserve">n of both progression-free and </w:t>
      </w:r>
      <w:r w:rsidRPr="00036417">
        <w:rPr>
          <w:rFonts w:ascii="Times New Roman" w:hAnsi="Times New Roman" w:cs="Times New Roman"/>
          <w:sz w:val="20"/>
          <w:szCs w:val="20"/>
          <w:lang w:val="en-US"/>
        </w:rPr>
        <w:t>overall surv</w:t>
      </w:r>
      <w:r>
        <w:rPr>
          <w:rFonts w:ascii="Times New Roman" w:hAnsi="Times New Roman" w:cs="Times New Roman"/>
          <w:sz w:val="20"/>
          <w:szCs w:val="20"/>
          <w:lang w:val="en-US"/>
        </w:rPr>
        <w:t>ival (HR 0.63 [CI 0.53-0.76]; P= .000059). Toxicity was com</w:t>
      </w:r>
      <w:r w:rsidRPr="00036417">
        <w:rPr>
          <w:rFonts w:ascii="Times New Roman" w:hAnsi="Times New Roman" w:cs="Times New Roman"/>
          <w:sz w:val="20"/>
          <w:szCs w:val="20"/>
          <w:lang w:val="en-US"/>
        </w:rPr>
        <w:t xml:space="preserve">parable between the two treatment arms with the exception of the expected mild-moderate skin toxicity due to the electrode placement on the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treated patients. All predefined clinical and molecular subgroups benefitted from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More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patients reported stable or improved scores on global health status, pain, physical functioning, and leg weakness (all P .01), while the area under the curve for improvement or stability over time was not significantly different between groups. Deterioration-free survival was significantly longer with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for global health, physical</w:t>
      </w:r>
      <w:r w:rsidR="00CE759C">
        <w:rPr>
          <w:rFonts w:ascii="Times New Roman" w:hAnsi="Times New Roman" w:cs="Times New Roman"/>
          <w:sz w:val="20"/>
          <w:szCs w:val="20"/>
          <w:lang w:val="en-US"/>
        </w:rPr>
        <w:t xml:space="preserve"> </w:t>
      </w:r>
      <w:r w:rsidRPr="00036417">
        <w:rPr>
          <w:rFonts w:ascii="Times New Roman" w:hAnsi="Times New Roman" w:cs="Times New Roman"/>
          <w:sz w:val="20"/>
          <w:szCs w:val="20"/>
          <w:lang w:val="en-US"/>
        </w:rPr>
        <w:lastRenderedPageBreak/>
        <w:t xml:space="preserve">and emotional functioning, pain, and leg weakness (all P&lt;.01). Time to deterioration was shorter for itchy skin and </w:t>
      </w:r>
      <w:r w:rsidR="00992E01">
        <w:rPr>
          <w:rFonts w:ascii="Times New Roman" w:hAnsi="Times New Roman" w:cs="Times New Roman"/>
          <w:sz w:val="20"/>
          <w:szCs w:val="20"/>
          <w:lang w:val="en-US"/>
        </w:rPr>
        <w:t xml:space="preserve">longer for pain (both P&lt;.001). </w:t>
      </w:r>
    </w:p>
    <w:p w:rsidR="00036417" w:rsidRPr="00036417" w:rsidRDefault="00036417" w:rsidP="002D0ED4">
      <w:pPr>
        <w:widowControl w:val="0"/>
        <w:tabs>
          <w:tab w:val="left" w:pos="220"/>
          <w:tab w:val="left" w:pos="720"/>
        </w:tabs>
        <w:autoSpaceDE w:val="0"/>
        <w:autoSpaceDN w:val="0"/>
        <w:adjustRightInd w:val="0"/>
        <w:spacing w:line="360" w:lineRule="auto"/>
        <w:ind w:left="720"/>
        <w:rPr>
          <w:rFonts w:ascii="Times New Roman" w:hAnsi="Times New Roman" w:cs="Times New Roman"/>
          <w:sz w:val="20"/>
          <w:szCs w:val="20"/>
          <w:lang w:val="en-US"/>
        </w:rPr>
      </w:pPr>
      <w:r w:rsidRPr="00CE759C">
        <w:rPr>
          <w:rFonts w:ascii="Times New Roman" w:hAnsi="Times New Roman" w:cs="Times New Roman"/>
          <w:b/>
          <w:sz w:val="20"/>
          <w:szCs w:val="20"/>
          <w:lang w:val="en-US"/>
        </w:rPr>
        <w:t>Conclusion:</w:t>
      </w:r>
      <w:r w:rsidRPr="00036417">
        <w:rPr>
          <w:rFonts w:ascii="Times New Roman" w:hAnsi="Times New Roman" w:cs="Times New Roman"/>
          <w:sz w:val="20"/>
          <w:szCs w:val="20"/>
          <w:lang w:val="en-US"/>
        </w:rPr>
        <w:t xml:space="preserve"> </w:t>
      </w:r>
      <w:proofErr w:type="spellStart"/>
      <w:r w:rsidRPr="00036417">
        <w:rPr>
          <w:rFonts w:ascii="Times New Roman" w:hAnsi="Times New Roman" w:cs="Times New Roman"/>
          <w:sz w:val="20"/>
          <w:szCs w:val="20"/>
          <w:lang w:val="en-US"/>
        </w:rPr>
        <w:t>TTFields</w:t>
      </w:r>
      <w:proofErr w:type="spellEnd"/>
      <w:r w:rsidRPr="00036417">
        <w:rPr>
          <w:rFonts w:ascii="Times New Roman" w:hAnsi="Times New Roman" w:cs="Times New Roman"/>
          <w:sz w:val="20"/>
          <w:szCs w:val="20"/>
          <w:lang w:val="en-US"/>
        </w:rPr>
        <w:t xml:space="preserve"> are an effective non-ionizing radiation treatment for GBM with a novel mechanism of action and unique delivery method. Patients become rapidly independent in handling the device allowing patients to control their treatment at home. Deterioration of key QOL scales is delayed in p</w:t>
      </w:r>
      <w:r w:rsidR="00992E01">
        <w:rPr>
          <w:rFonts w:ascii="Times New Roman" w:hAnsi="Times New Roman" w:cs="Times New Roman"/>
          <w:sz w:val="20"/>
          <w:szCs w:val="20"/>
          <w:lang w:val="en-US"/>
        </w:rPr>
        <w:t xml:space="preserve">atients treated with </w:t>
      </w:r>
      <w:proofErr w:type="spellStart"/>
      <w:r w:rsidR="00992E01">
        <w:rPr>
          <w:rFonts w:ascii="Times New Roman" w:hAnsi="Times New Roman" w:cs="Times New Roman"/>
          <w:sz w:val="20"/>
          <w:szCs w:val="20"/>
          <w:lang w:val="en-US"/>
        </w:rPr>
        <w:t>TTFields</w:t>
      </w:r>
      <w:proofErr w:type="spellEnd"/>
      <w:r w:rsidR="00992E01">
        <w:rPr>
          <w:rFonts w:ascii="Times New Roman" w:hAnsi="Times New Roman" w:cs="Times New Roman"/>
          <w:sz w:val="20"/>
          <w:szCs w:val="20"/>
          <w:lang w:val="en-US"/>
        </w:rPr>
        <w:t xml:space="preserve">. </w:t>
      </w:r>
    </w:p>
    <w:p w:rsidR="00036417" w:rsidRPr="00036417" w:rsidRDefault="00036417">
      <w:pPr>
        <w:rPr>
          <w:rFonts w:ascii="Times New Roman" w:hAnsi="Times New Roman" w:cs="Times New Roman"/>
          <w:sz w:val="20"/>
          <w:szCs w:val="20"/>
        </w:rPr>
      </w:pPr>
    </w:p>
    <w:sectPr w:rsidR="00036417" w:rsidRPr="00036417" w:rsidSect="001F110E">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EE"/>
    <w:family w:val="roman"/>
    <w:pitch w:val="variable"/>
    <w:sig w:usb0="E0002EFF" w:usb1="C000785B"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39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hyphenationZone w:val="425"/>
  <w:characterSpacingControl w:val="doNotCompress"/>
  <w:compat>
    <w:useFELayout/>
  </w:compat>
  <w:rsids>
    <w:rsidRoot w:val="00036417"/>
    <w:rsid w:val="00036417"/>
    <w:rsid w:val="001F110E"/>
    <w:rsid w:val="002D0ED4"/>
    <w:rsid w:val="00992E01"/>
    <w:rsid w:val="009C5B9E"/>
    <w:rsid w:val="00CE759C"/>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5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3641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1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533</Words>
  <Characters>3147</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Admin</cp:lastModifiedBy>
  <cp:revision>3</cp:revision>
  <dcterms:created xsi:type="dcterms:W3CDTF">2017-10-23T09:33:00Z</dcterms:created>
  <dcterms:modified xsi:type="dcterms:W3CDTF">2017-11-01T10:55:00Z</dcterms:modified>
</cp:coreProperties>
</file>