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F8" w:rsidRDefault="006D5EF8">
      <w:pPr>
        <w:pStyle w:val="Nadpis1"/>
        <w:ind w:left="-5"/>
      </w:pPr>
    </w:p>
    <w:p w:rsidR="006D5EF8" w:rsidRDefault="006D5EF8">
      <w:pPr>
        <w:spacing w:after="97" w:line="259" w:lineRule="auto"/>
        <w:ind w:left="0" w:firstLine="0"/>
        <w:jc w:val="left"/>
      </w:pPr>
    </w:p>
    <w:p w:rsidR="0025775D" w:rsidRDefault="000524B4" w:rsidP="002B1C54">
      <w:pPr>
        <w:spacing w:after="2" w:line="360" w:lineRule="auto"/>
        <w:ind w:left="-5" w:right="580"/>
        <w:jc w:val="left"/>
        <w:rPr>
          <w:rFonts w:eastAsia="Calibri"/>
          <w:b/>
          <w:sz w:val="24"/>
          <w:szCs w:val="24"/>
          <w:lang w:val="en-IE"/>
        </w:rPr>
      </w:pPr>
      <w:r w:rsidRPr="0025775D">
        <w:rPr>
          <w:rFonts w:eastAsia="Calibri"/>
          <w:b/>
          <w:sz w:val="24"/>
          <w:szCs w:val="24"/>
          <w:lang w:val="en-IE"/>
        </w:rPr>
        <w:t>Primary Outcome Analysis for Shortening Adjuvant Photon</w:t>
      </w:r>
      <w:r w:rsidR="0025775D" w:rsidRPr="0025775D">
        <w:rPr>
          <w:b/>
          <w:sz w:val="24"/>
          <w:szCs w:val="24"/>
          <w:lang w:val="en-IE"/>
        </w:rPr>
        <w:t xml:space="preserve"> </w:t>
      </w:r>
      <w:r w:rsidRPr="0025775D">
        <w:rPr>
          <w:rFonts w:eastAsia="Calibri"/>
          <w:b/>
          <w:sz w:val="24"/>
          <w:szCs w:val="24"/>
          <w:lang w:val="en-IE"/>
        </w:rPr>
        <w:t xml:space="preserve">Irradiation to Reduce </w:t>
      </w:r>
      <w:proofErr w:type="spellStart"/>
      <w:r w:rsidRPr="0025775D">
        <w:rPr>
          <w:rFonts w:eastAsia="Calibri"/>
          <w:b/>
          <w:sz w:val="24"/>
          <w:szCs w:val="24"/>
          <w:lang w:val="en-IE"/>
        </w:rPr>
        <w:t>Edema</w:t>
      </w:r>
      <w:proofErr w:type="spellEnd"/>
      <w:r w:rsidRPr="0025775D">
        <w:rPr>
          <w:rFonts w:eastAsia="Calibri"/>
          <w:b/>
          <w:sz w:val="24"/>
          <w:szCs w:val="24"/>
          <w:lang w:val="en-IE"/>
        </w:rPr>
        <w:t xml:space="preserve"> (SAPHIRE): A Randomized,</w:t>
      </w:r>
      <w:r w:rsidR="0025775D" w:rsidRPr="0025775D">
        <w:rPr>
          <w:b/>
          <w:sz w:val="24"/>
          <w:szCs w:val="24"/>
          <w:lang w:val="en-IE"/>
        </w:rPr>
        <w:t xml:space="preserve"> </w:t>
      </w:r>
      <w:r w:rsidRPr="0025775D">
        <w:rPr>
          <w:rFonts w:eastAsia="Calibri"/>
          <w:b/>
          <w:sz w:val="24"/>
          <w:szCs w:val="24"/>
          <w:lang w:val="en-IE"/>
        </w:rPr>
        <w:t>Phase III Trial of Hypo- vs. Conventionally Fractionated</w:t>
      </w:r>
      <w:r w:rsidR="0025775D" w:rsidRPr="0025775D">
        <w:rPr>
          <w:b/>
          <w:sz w:val="24"/>
          <w:szCs w:val="24"/>
          <w:lang w:val="en-IE"/>
        </w:rPr>
        <w:t xml:space="preserve"> </w:t>
      </w:r>
      <w:r w:rsidRPr="0025775D">
        <w:rPr>
          <w:rFonts w:eastAsia="Calibri"/>
          <w:b/>
          <w:sz w:val="24"/>
          <w:szCs w:val="24"/>
          <w:lang w:val="en-IE"/>
        </w:rPr>
        <w:t>Regional Nodal Irradiation (RNI)</w:t>
      </w:r>
    </w:p>
    <w:p w:rsidR="002B1C54" w:rsidRPr="002B1C54" w:rsidRDefault="002B1C54" w:rsidP="002B1C54">
      <w:pPr>
        <w:spacing w:after="2" w:line="360" w:lineRule="auto"/>
        <w:ind w:left="-5" w:right="580"/>
        <w:jc w:val="left"/>
        <w:rPr>
          <w:rFonts w:eastAsia="Calibri"/>
          <w:b/>
          <w:sz w:val="24"/>
          <w:szCs w:val="24"/>
          <w:lang w:val="en-IE"/>
        </w:rPr>
      </w:pPr>
    </w:p>
    <w:p w:rsidR="006D5EF8" w:rsidRPr="0025775D" w:rsidRDefault="000524B4" w:rsidP="002B1C54">
      <w:pPr>
        <w:spacing w:after="36" w:line="360" w:lineRule="auto"/>
        <w:ind w:left="-15" w:firstLine="0"/>
        <w:jc w:val="left"/>
        <w:rPr>
          <w:sz w:val="20"/>
          <w:szCs w:val="20"/>
          <w:lang w:val="en-IE"/>
        </w:rPr>
      </w:pPr>
      <w:r w:rsidRPr="005C73A3">
        <w:rPr>
          <w:sz w:val="20"/>
          <w:szCs w:val="20"/>
          <w:lang w:val="en-IE"/>
        </w:rPr>
        <w:t>K.E. Hoffman,</w:t>
      </w:r>
      <w:r w:rsidRPr="005C73A3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5C73A3">
        <w:rPr>
          <w:sz w:val="20"/>
          <w:szCs w:val="20"/>
          <w:lang w:val="en-IE"/>
        </w:rPr>
        <w:t>S.F. Shaitelman,</w:t>
      </w:r>
      <w:r w:rsidRPr="005C73A3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5C73A3">
        <w:rPr>
          <w:sz w:val="20"/>
          <w:szCs w:val="20"/>
          <w:lang w:val="en-IE"/>
        </w:rPr>
        <w:t>W. Qiao,</w:t>
      </w:r>
      <w:r w:rsidRPr="005C73A3">
        <w:rPr>
          <w:color w:val="0080AB"/>
          <w:sz w:val="20"/>
          <w:szCs w:val="20"/>
          <w:vertAlign w:val="superscript"/>
          <w:lang w:val="en-IE"/>
        </w:rPr>
        <w:t xml:space="preserve">2 </w:t>
      </w:r>
      <w:r w:rsidRPr="005C73A3">
        <w:rPr>
          <w:sz w:val="20"/>
          <w:szCs w:val="20"/>
          <w:lang w:val="en-IE"/>
        </w:rPr>
        <w:t>R.Z. Fnu,</w:t>
      </w:r>
      <w:r w:rsidRPr="005C73A3">
        <w:rPr>
          <w:color w:val="0080AB"/>
          <w:sz w:val="20"/>
          <w:szCs w:val="20"/>
          <w:vertAlign w:val="superscript"/>
          <w:lang w:val="en-IE"/>
        </w:rPr>
        <w:t xml:space="preserve">3 </w:t>
      </w:r>
      <w:r w:rsidRPr="005C73A3">
        <w:rPr>
          <w:sz w:val="20"/>
          <w:szCs w:val="20"/>
          <w:lang w:val="en-IE"/>
        </w:rPr>
        <w:t>I.Y. Arzu,</w:t>
      </w:r>
      <w:r w:rsidRPr="005C73A3">
        <w:rPr>
          <w:color w:val="0080AB"/>
          <w:sz w:val="20"/>
          <w:szCs w:val="20"/>
          <w:vertAlign w:val="superscript"/>
          <w:lang w:val="en-IE"/>
        </w:rPr>
        <w:t>4</w:t>
      </w:r>
      <w:r w:rsidR="0025775D" w:rsidRPr="005C73A3">
        <w:rPr>
          <w:sz w:val="20"/>
          <w:szCs w:val="20"/>
          <w:lang w:val="en-IE"/>
        </w:rPr>
        <w:t xml:space="preserve"> </w:t>
      </w:r>
      <w:r w:rsidRPr="005C73A3">
        <w:rPr>
          <w:sz w:val="20"/>
          <w:szCs w:val="20"/>
          <w:lang w:val="en-IE"/>
        </w:rPr>
        <w:t>E. Bloom,</w:t>
      </w:r>
      <w:r w:rsidRPr="005C73A3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5C73A3">
        <w:rPr>
          <w:sz w:val="20"/>
          <w:szCs w:val="20"/>
          <w:lang w:val="en-IE"/>
        </w:rPr>
        <w:t>C.R. Goodman,</w:t>
      </w:r>
      <w:r w:rsidRPr="005C73A3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5C73A3">
        <w:rPr>
          <w:sz w:val="20"/>
          <w:szCs w:val="20"/>
          <w:lang w:val="en-IE"/>
        </w:rPr>
        <w:t>M.M. Joyner,</w:t>
      </w:r>
      <w:r w:rsidRPr="005C73A3">
        <w:rPr>
          <w:color w:val="0080AB"/>
          <w:sz w:val="20"/>
          <w:szCs w:val="20"/>
          <w:vertAlign w:val="superscript"/>
          <w:lang w:val="en-IE"/>
        </w:rPr>
        <w:t>1</w:t>
      </w:r>
      <w:r w:rsidRPr="0025775D">
        <w:rPr>
          <w:color w:val="0080AB"/>
          <w:sz w:val="20"/>
          <w:szCs w:val="20"/>
          <w:vertAlign w:val="superscript"/>
          <w:lang w:val="en-IE"/>
        </w:rPr>
        <w:t xml:space="preserve"> </w:t>
      </w:r>
      <w:r w:rsidRPr="0025775D">
        <w:rPr>
          <w:sz w:val="20"/>
          <w:szCs w:val="20"/>
          <w:lang w:val="en-IE"/>
        </w:rPr>
        <w:t>L.L. Mayo,</w:t>
      </w:r>
      <w:r w:rsidRPr="0025775D">
        <w:rPr>
          <w:color w:val="0080AB"/>
          <w:sz w:val="20"/>
          <w:szCs w:val="20"/>
          <w:vertAlign w:val="superscript"/>
          <w:lang w:val="en-IE"/>
        </w:rPr>
        <w:t xml:space="preserve">3 </w:t>
      </w:r>
      <w:r w:rsidRPr="0025775D">
        <w:rPr>
          <w:sz w:val="20"/>
          <w:szCs w:val="20"/>
          <w:lang w:val="en-IE"/>
        </w:rPr>
        <w:t>M.P. Mitchell,</w:t>
      </w:r>
      <w:r w:rsidRPr="0025775D">
        <w:rPr>
          <w:color w:val="0080AB"/>
          <w:sz w:val="20"/>
          <w:szCs w:val="20"/>
          <w:vertAlign w:val="superscript"/>
          <w:lang w:val="en-IE"/>
        </w:rPr>
        <w:t>1</w:t>
      </w:r>
      <w:r w:rsidR="0025775D" w:rsidRPr="0025775D">
        <w:rPr>
          <w:sz w:val="20"/>
          <w:szCs w:val="20"/>
          <w:lang w:val="en-IE"/>
        </w:rPr>
        <w:t xml:space="preserve"> </w:t>
      </w:r>
      <w:r w:rsidRPr="0025775D">
        <w:rPr>
          <w:sz w:val="20"/>
          <w:szCs w:val="20"/>
          <w:lang w:val="en-IE"/>
        </w:rPr>
        <w:t>G.H. Perkins,</w:t>
      </w:r>
      <w:r w:rsidRPr="0025775D">
        <w:rPr>
          <w:color w:val="0080AB"/>
          <w:sz w:val="20"/>
          <w:szCs w:val="20"/>
          <w:vertAlign w:val="superscript"/>
          <w:lang w:val="en-IE"/>
        </w:rPr>
        <w:t xml:space="preserve">4 </w:t>
      </w:r>
      <w:r w:rsidRPr="0025775D">
        <w:rPr>
          <w:sz w:val="20"/>
          <w:szCs w:val="20"/>
          <w:lang w:val="en-IE"/>
        </w:rPr>
        <w:t>J. Reddy,</w:t>
      </w:r>
      <w:r w:rsidRPr="0025775D">
        <w:rPr>
          <w:color w:val="0080AB"/>
          <w:sz w:val="20"/>
          <w:szCs w:val="20"/>
          <w:vertAlign w:val="superscript"/>
          <w:lang w:val="en-IE"/>
        </w:rPr>
        <w:t xml:space="preserve">3 </w:t>
      </w:r>
      <w:r w:rsidRPr="0025775D">
        <w:rPr>
          <w:sz w:val="20"/>
          <w:szCs w:val="20"/>
          <w:lang w:val="en-IE"/>
        </w:rPr>
        <w:t>P. Singh,</w:t>
      </w:r>
      <w:r w:rsidRPr="0025775D">
        <w:rPr>
          <w:color w:val="0080AB"/>
          <w:sz w:val="20"/>
          <w:szCs w:val="20"/>
          <w:vertAlign w:val="superscript"/>
          <w:lang w:val="en-IE"/>
        </w:rPr>
        <w:t xml:space="preserve">5 </w:t>
      </w:r>
      <w:r w:rsidRPr="0025775D">
        <w:rPr>
          <w:sz w:val="20"/>
          <w:szCs w:val="20"/>
          <w:lang w:val="en-IE"/>
        </w:rPr>
        <w:t>M.C. Stauder,</w:t>
      </w:r>
      <w:r w:rsidRPr="0025775D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25775D">
        <w:rPr>
          <w:sz w:val="20"/>
          <w:szCs w:val="20"/>
          <w:lang w:val="en-IE"/>
        </w:rPr>
        <w:t>E.A. Strom,</w:t>
      </w:r>
      <w:r w:rsidRPr="0025775D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25775D">
        <w:rPr>
          <w:sz w:val="20"/>
          <w:szCs w:val="20"/>
          <w:lang w:val="en-IE"/>
        </w:rPr>
        <w:t>V.K. Reed,</w:t>
      </w:r>
      <w:r w:rsidRPr="0025775D">
        <w:rPr>
          <w:color w:val="0080AB"/>
          <w:sz w:val="20"/>
          <w:szCs w:val="20"/>
          <w:vertAlign w:val="superscript"/>
          <w:lang w:val="en-IE"/>
        </w:rPr>
        <w:t>1</w:t>
      </w:r>
      <w:r w:rsidR="0025775D" w:rsidRPr="0025775D">
        <w:rPr>
          <w:sz w:val="20"/>
          <w:szCs w:val="20"/>
          <w:lang w:val="en-IE"/>
        </w:rPr>
        <w:t xml:space="preserve"> </w:t>
      </w:r>
      <w:r w:rsidRPr="0025775D">
        <w:rPr>
          <w:sz w:val="20"/>
          <w:szCs w:val="20"/>
          <w:lang w:val="en-IE"/>
        </w:rPr>
        <w:t>P.J. Schlembach,</w:t>
      </w:r>
      <w:r w:rsidRPr="0025775D">
        <w:rPr>
          <w:color w:val="0080AB"/>
          <w:sz w:val="20"/>
          <w:szCs w:val="20"/>
          <w:vertAlign w:val="superscript"/>
          <w:lang w:val="en-IE"/>
        </w:rPr>
        <w:t xml:space="preserve">3 </w:t>
      </w:r>
      <w:r w:rsidRPr="0025775D">
        <w:rPr>
          <w:sz w:val="20"/>
          <w:szCs w:val="20"/>
          <w:lang w:val="en-IE"/>
        </w:rPr>
        <w:t>W. Tereffe,</w:t>
      </w:r>
      <w:r w:rsidRPr="0025775D">
        <w:rPr>
          <w:color w:val="0080AB"/>
          <w:sz w:val="20"/>
          <w:szCs w:val="20"/>
          <w:vertAlign w:val="superscript"/>
          <w:lang w:val="en-IE"/>
        </w:rPr>
        <w:t xml:space="preserve">4 </w:t>
      </w:r>
      <w:r w:rsidRPr="0025775D">
        <w:rPr>
          <w:sz w:val="20"/>
          <w:szCs w:val="20"/>
          <w:lang w:val="en-IE"/>
        </w:rPr>
        <w:t>W.A. Woodward,</w:t>
      </w:r>
      <w:r w:rsidRPr="0025775D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25775D">
        <w:rPr>
          <w:sz w:val="20"/>
          <w:szCs w:val="20"/>
          <w:lang w:val="en-IE"/>
        </w:rPr>
        <w:t>and B.D. Smith</w:t>
      </w:r>
      <w:r w:rsidRPr="0025775D">
        <w:rPr>
          <w:color w:val="0080AB"/>
          <w:sz w:val="20"/>
          <w:szCs w:val="20"/>
          <w:vertAlign w:val="superscript"/>
          <w:lang w:val="en-IE"/>
        </w:rPr>
        <w:t>1</w:t>
      </w:r>
      <w:r w:rsidRPr="0025775D">
        <w:rPr>
          <w:sz w:val="20"/>
          <w:szCs w:val="20"/>
          <w:lang w:val="en-IE"/>
        </w:rPr>
        <w:t>;</w:t>
      </w:r>
    </w:p>
    <w:p w:rsidR="0025775D" w:rsidRPr="005C73A3" w:rsidRDefault="0025775D" w:rsidP="002B1C54">
      <w:pPr>
        <w:spacing w:after="0" w:line="360" w:lineRule="auto"/>
        <w:ind w:left="0" w:firstLine="0"/>
        <w:jc w:val="left"/>
        <w:rPr>
          <w:sz w:val="24"/>
          <w:szCs w:val="24"/>
          <w:lang w:val="en-IE"/>
        </w:rPr>
      </w:pPr>
      <w:r w:rsidRPr="0025775D">
        <w:rPr>
          <w:sz w:val="20"/>
          <w:szCs w:val="20"/>
          <w:lang w:val="en-IE"/>
        </w:rPr>
        <w:t xml:space="preserve"> </w:t>
      </w:r>
    </w:p>
    <w:p w:rsidR="005C73A3" w:rsidRPr="002B1C54" w:rsidRDefault="000524B4" w:rsidP="002B1C54">
      <w:pPr>
        <w:spacing w:after="0" w:line="360" w:lineRule="auto"/>
        <w:ind w:left="0" w:firstLine="0"/>
        <w:jc w:val="left"/>
        <w:rPr>
          <w:i/>
          <w:sz w:val="20"/>
          <w:szCs w:val="20"/>
          <w:lang w:val="en-IE"/>
        </w:rPr>
      </w:pPr>
      <w:r w:rsidRPr="005C73A3">
        <w:rPr>
          <w:i/>
          <w:sz w:val="20"/>
          <w:szCs w:val="20"/>
          <w:vertAlign w:val="superscript"/>
          <w:lang w:val="en-IE"/>
        </w:rPr>
        <w:t>1</w:t>
      </w:r>
      <w:r w:rsidRPr="0025775D">
        <w:rPr>
          <w:i/>
          <w:sz w:val="20"/>
          <w:szCs w:val="20"/>
          <w:lang w:val="en-IE"/>
        </w:rPr>
        <w:t>Department of Breast Radiation Oncology, The University of Texas MD</w:t>
      </w:r>
      <w:r w:rsidR="0025775D" w:rsidRPr="0025775D">
        <w:rPr>
          <w:i/>
          <w:sz w:val="20"/>
          <w:szCs w:val="20"/>
          <w:lang w:val="en-IE"/>
        </w:rPr>
        <w:t xml:space="preserve"> </w:t>
      </w:r>
      <w:r w:rsidRPr="0025775D">
        <w:rPr>
          <w:i/>
          <w:sz w:val="20"/>
          <w:szCs w:val="20"/>
          <w:lang w:val="en-IE"/>
        </w:rPr>
        <w:t xml:space="preserve">Anderson Cancer </w:t>
      </w:r>
      <w:proofErr w:type="spellStart"/>
      <w:r w:rsidRPr="0025775D">
        <w:rPr>
          <w:i/>
          <w:sz w:val="20"/>
          <w:szCs w:val="20"/>
          <w:lang w:val="en-IE"/>
        </w:rPr>
        <w:t>Center</w:t>
      </w:r>
      <w:proofErr w:type="spellEnd"/>
      <w:r w:rsidRPr="0025775D">
        <w:rPr>
          <w:i/>
          <w:sz w:val="20"/>
          <w:szCs w:val="20"/>
          <w:lang w:val="en-IE"/>
        </w:rPr>
        <w:t xml:space="preserve">, Houston, TX, </w:t>
      </w:r>
      <w:r w:rsidRPr="0025775D">
        <w:rPr>
          <w:i/>
          <w:sz w:val="20"/>
          <w:szCs w:val="20"/>
          <w:vertAlign w:val="superscript"/>
          <w:lang w:val="en-IE"/>
        </w:rPr>
        <w:t>2</w:t>
      </w:r>
      <w:r w:rsidRPr="0025775D">
        <w:rPr>
          <w:i/>
          <w:sz w:val="20"/>
          <w:szCs w:val="20"/>
          <w:lang w:val="en-IE"/>
        </w:rPr>
        <w:t xml:space="preserve">Department of Biostatistics, The University of Texas MD Anderson Cancer </w:t>
      </w:r>
      <w:proofErr w:type="spellStart"/>
      <w:r w:rsidRPr="0025775D">
        <w:rPr>
          <w:i/>
          <w:sz w:val="20"/>
          <w:szCs w:val="20"/>
          <w:lang w:val="en-IE"/>
        </w:rPr>
        <w:t>Center</w:t>
      </w:r>
      <w:proofErr w:type="spellEnd"/>
      <w:r w:rsidRPr="0025775D">
        <w:rPr>
          <w:i/>
          <w:sz w:val="20"/>
          <w:szCs w:val="20"/>
          <w:lang w:val="en-IE"/>
        </w:rPr>
        <w:t xml:space="preserve">, Houston, TX, </w:t>
      </w:r>
      <w:r w:rsidRPr="0025775D">
        <w:rPr>
          <w:i/>
          <w:sz w:val="20"/>
          <w:szCs w:val="20"/>
          <w:vertAlign w:val="superscript"/>
          <w:lang w:val="en-IE"/>
        </w:rPr>
        <w:t>3</w:t>
      </w:r>
      <w:r w:rsidRPr="0025775D">
        <w:rPr>
          <w:i/>
          <w:sz w:val="20"/>
          <w:szCs w:val="20"/>
          <w:lang w:val="en-IE"/>
        </w:rPr>
        <w:t xml:space="preserve">Department of Radiation Oncology, The University of Texas MD Anderson Cancer </w:t>
      </w:r>
      <w:proofErr w:type="spellStart"/>
      <w:r w:rsidRPr="0025775D">
        <w:rPr>
          <w:i/>
          <w:sz w:val="20"/>
          <w:szCs w:val="20"/>
          <w:lang w:val="en-IE"/>
        </w:rPr>
        <w:t>Center</w:t>
      </w:r>
      <w:proofErr w:type="spellEnd"/>
      <w:r w:rsidRPr="0025775D">
        <w:rPr>
          <w:i/>
          <w:sz w:val="20"/>
          <w:szCs w:val="20"/>
          <w:lang w:val="en-IE"/>
        </w:rPr>
        <w:t xml:space="preserve">, Houston, TX, </w:t>
      </w:r>
      <w:r w:rsidRPr="0025775D">
        <w:rPr>
          <w:i/>
          <w:sz w:val="20"/>
          <w:szCs w:val="20"/>
          <w:vertAlign w:val="superscript"/>
          <w:lang w:val="en-IE"/>
        </w:rPr>
        <w:t>4</w:t>
      </w:r>
      <w:r w:rsidRPr="0025775D">
        <w:rPr>
          <w:i/>
          <w:sz w:val="20"/>
          <w:szCs w:val="20"/>
          <w:lang w:val="en-IE"/>
        </w:rPr>
        <w:t xml:space="preserve">The University of Texas MD Anderson Cancer </w:t>
      </w:r>
      <w:proofErr w:type="spellStart"/>
      <w:r w:rsidRPr="0025775D">
        <w:rPr>
          <w:i/>
          <w:sz w:val="20"/>
          <w:szCs w:val="20"/>
          <w:lang w:val="en-IE"/>
        </w:rPr>
        <w:t>Center</w:t>
      </w:r>
      <w:proofErr w:type="spellEnd"/>
      <w:r w:rsidRPr="0025775D">
        <w:rPr>
          <w:i/>
          <w:sz w:val="20"/>
          <w:szCs w:val="20"/>
          <w:lang w:val="en-IE"/>
        </w:rPr>
        <w:t xml:space="preserve">, Houston, TX, </w:t>
      </w:r>
      <w:r w:rsidRPr="0025775D">
        <w:rPr>
          <w:i/>
          <w:sz w:val="20"/>
          <w:szCs w:val="20"/>
          <w:vertAlign w:val="superscript"/>
          <w:lang w:val="en-IE"/>
        </w:rPr>
        <w:t>5</w:t>
      </w:r>
      <w:r w:rsidRPr="0025775D">
        <w:rPr>
          <w:i/>
          <w:sz w:val="20"/>
          <w:szCs w:val="20"/>
          <w:lang w:val="en-IE"/>
        </w:rPr>
        <w:t xml:space="preserve">Department of Breast Surgical Oncology, The University of Texas MD Anderson Cancer </w:t>
      </w:r>
      <w:proofErr w:type="spellStart"/>
      <w:r w:rsidRPr="0025775D">
        <w:rPr>
          <w:i/>
          <w:sz w:val="20"/>
          <w:szCs w:val="20"/>
          <w:lang w:val="en-IE"/>
        </w:rPr>
        <w:t>Center</w:t>
      </w:r>
      <w:proofErr w:type="spellEnd"/>
      <w:r w:rsidRPr="0025775D">
        <w:rPr>
          <w:i/>
          <w:sz w:val="20"/>
          <w:szCs w:val="20"/>
          <w:lang w:val="en-IE"/>
        </w:rPr>
        <w:t>, Houston, TX</w:t>
      </w:r>
      <w:r w:rsidR="005C73A3">
        <w:rPr>
          <w:i/>
          <w:sz w:val="20"/>
          <w:szCs w:val="20"/>
          <w:lang w:val="en-IE"/>
        </w:rPr>
        <w:br/>
      </w:r>
      <w:bookmarkStart w:id="0" w:name="_GoBack"/>
      <w:bookmarkEnd w:id="0"/>
    </w:p>
    <w:p w:rsidR="006D5EF8" w:rsidRPr="0025775D" w:rsidRDefault="000524B4" w:rsidP="002B1C54">
      <w:pPr>
        <w:spacing w:line="360" w:lineRule="auto"/>
        <w:ind w:left="-15" w:firstLine="0"/>
        <w:jc w:val="left"/>
        <w:rPr>
          <w:sz w:val="20"/>
          <w:szCs w:val="20"/>
          <w:lang w:val="en-IE"/>
        </w:rPr>
      </w:pPr>
      <w:r w:rsidRPr="0025775D">
        <w:rPr>
          <w:rFonts w:eastAsia="Calibri"/>
          <w:b/>
          <w:sz w:val="20"/>
          <w:szCs w:val="20"/>
          <w:lang w:val="en-IE"/>
        </w:rPr>
        <w:t>Purpose/Objective(s):</w:t>
      </w:r>
      <w:r w:rsidRPr="0025775D">
        <w:rPr>
          <w:rFonts w:eastAsia="Calibri"/>
          <w:sz w:val="20"/>
          <w:szCs w:val="20"/>
          <w:lang w:val="en-IE"/>
        </w:rPr>
        <w:t xml:space="preserve"> </w:t>
      </w:r>
      <w:r w:rsidRPr="0025775D">
        <w:rPr>
          <w:sz w:val="20"/>
          <w:szCs w:val="20"/>
          <w:lang w:val="en-IE"/>
        </w:rPr>
        <w:t xml:space="preserve">Although RNI improves breast cancer survival, it increases risk of upper extremity lymphedema. We hypothesized that </w:t>
      </w:r>
      <w:proofErr w:type="spellStart"/>
      <w:r w:rsidRPr="0025775D">
        <w:rPr>
          <w:sz w:val="20"/>
          <w:szCs w:val="20"/>
          <w:lang w:val="en-IE"/>
        </w:rPr>
        <w:t>hypofractionated</w:t>
      </w:r>
      <w:proofErr w:type="spellEnd"/>
      <w:r w:rsidRPr="0025775D">
        <w:rPr>
          <w:sz w:val="20"/>
          <w:szCs w:val="20"/>
          <w:lang w:val="en-IE"/>
        </w:rPr>
        <w:t xml:space="preserve"> RNI may reduce lymphedema risk.</w:t>
      </w:r>
    </w:p>
    <w:p w:rsidR="006D5EF8" w:rsidRPr="0025775D" w:rsidRDefault="000524B4" w:rsidP="002B1C54">
      <w:pPr>
        <w:spacing w:line="360" w:lineRule="auto"/>
        <w:ind w:left="-5"/>
        <w:jc w:val="left"/>
        <w:rPr>
          <w:sz w:val="20"/>
          <w:szCs w:val="20"/>
          <w:lang w:val="en-IE"/>
        </w:rPr>
      </w:pPr>
      <w:r w:rsidRPr="0025775D">
        <w:rPr>
          <w:rFonts w:eastAsia="Calibri"/>
          <w:b/>
          <w:sz w:val="20"/>
          <w:szCs w:val="20"/>
          <w:lang w:val="en-IE"/>
        </w:rPr>
        <w:t>Materials/Methods:</w:t>
      </w:r>
      <w:r w:rsidRPr="0025775D">
        <w:rPr>
          <w:rFonts w:eastAsia="Calibri"/>
          <w:sz w:val="20"/>
          <w:szCs w:val="20"/>
          <w:lang w:val="en-IE"/>
        </w:rPr>
        <w:t xml:space="preserve"> </w:t>
      </w:r>
      <w:r w:rsidRPr="0025775D">
        <w:rPr>
          <w:sz w:val="20"/>
          <w:szCs w:val="20"/>
          <w:lang w:val="en-IE"/>
        </w:rPr>
        <w:t xml:space="preserve">Patients with a recommendation for RNI for cT0-T3, N0-N2a, N3a invasive breast cancer were randomized between standard RNI (STD-RNI: 50 </w:t>
      </w:r>
      <w:proofErr w:type="spellStart"/>
      <w:r w:rsidRPr="0025775D">
        <w:rPr>
          <w:sz w:val="20"/>
          <w:szCs w:val="20"/>
          <w:lang w:val="en-IE"/>
        </w:rPr>
        <w:t>Gy</w:t>
      </w:r>
      <w:proofErr w:type="spellEnd"/>
      <w:r w:rsidRPr="0025775D">
        <w:rPr>
          <w:sz w:val="20"/>
          <w:szCs w:val="20"/>
          <w:lang w:val="en-IE"/>
        </w:rPr>
        <w:t xml:space="preserve"> to breast/chest wall and 45 </w:t>
      </w:r>
      <w:proofErr w:type="spellStart"/>
      <w:r w:rsidRPr="0025775D">
        <w:rPr>
          <w:sz w:val="20"/>
          <w:szCs w:val="20"/>
          <w:lang w:val="en-IE"/>
        </w:rPr>
        <w:t>Gy</w:t>
      </w:r>
      <w:proofErr w:type="spellEnd"/>
      <w:r w:rsidRPr="0025775D">
        <w:rPr>
          <w:sz w:val="20"/>
          <w:szCs w:val="20"/>
          <w:lang w:val="en-IE"/>
        </w:rPr>
        <w:t xml:space="preserve"> to RN) or shorter RNI (SH-RNI: 40.05 </w:t>
      </w:r>
      <w:proofErr w:type="spellStart"/>
      <w:r w:rsidRPr="0025775D">
        <w:rPr>
          <w:sz w:val="20"/>
          <w:szCs w:val="20"/>
          <w:lang w:val="en-IE"/>
        </w:rPr>
        <w:t>Gy</w:t>
      </w:r>
      <w:proofErr w:type="spellEnd"/>
      <w:r w:rsidRPr="0025775D">
        <w:rPr>
          <w:sz w:val="20"/>
          <w:szCs w:val="20"/>
          <w:lang w:val="en-IE"/>
        </w:rPr>
        <w:t xml:space="preserve"> to breast/chest wall and 37.5 </w:t>
      </w:r>
      <w:proofErr w:type="spellStart"/>
      <w:r w:rsidRPr="0025775D">
        <w:rPr>
          <w:sz w:val="20"/>
          <w:szCs w:val="20"/>
          <w:lang w:val="en-IE"/>
        </w:rPr>
        <w:t>Gy</w:t>
      </w:r>
      <w:proofErr w:type="spellEnd"/>
      <w:r w:rsidRPr="0025775D">
        <w:rPr>
          <w:sz w:val="20"/>
          <w:szCs w:val="20"/>
          <w:lang w:val="en-IE"/>
        </w:rPr>
        <w:t xml:space="preserve"> to RN). Patients were strati</w:t>
      </w:r>
      <w:r w:rsidRPr="0025775D">
        <w:rPr>
          <w:rFonts w:eastAsia="Calibri"/>
          <w:sz w:val="20"/>
          <w:szCs w:val="20"/>
          <w:lang w:val="en-IE"/>
        </w:rPr>
        <w:t>fi</w:t>
      </w:r>
      <w:r w:rsidRPr="0025775D">
        <w:rPr>
          <w:sz w:val="20"/>
          <w:szCs w:val="20"/>
          <w:lang w:val="en-IE"/>
        </w:rPr>
        <w:t xml:space="preserve">ed by receipt of chemotherapy, body mass index (BMI), type of axillary surgery, and difference in arm volume prior to RNI. RN targets included the internal mammary, infraclavicular, and supraclavicular nodal basins; the level I and II axilla was treated if axillary lymph node dissection was not performed. Boost to the </w:t>
      </w:r>
      <w:proofErr w:type="spellStart"/>
      <w:r w:rsidRPr="0025775D">
        <w:rPr>
          <w:sz w:val="20"/>
          <w:szCs w:val="20"/>
          <w:lang w:val="en-IE"/>
        </w:rPr>
        <w:t>tumor</w:t>
      </w:r>
      <w:proofErr w:type="spellEnd"/>
      <w:r w:rsidRPr="0025775D">
        <w:rPr>
          <w:sz w:val="20"/>
          <w:szCs w:val="20"/>
          <w:lang w:val="en-IE"/>
        </w:rPr>
        <w:t xml:space="preserve"> bed or chest wall was permitted. Lymphedema was assessed via standard toxicity grading by the treating physician and by serial </w:t>
      </w:r>
      <w:proofErr w:type="spellStart"/>
      <w:r w:rsidRPr="0025775D">
        <w:rPr>
          <w:sz w:val="20"/>
          <w:szCs w:val="20"/>
          <w:lang w:val="en-IE"/>
        </w:rPr>
        <w:t>perometry</w:t>
      </w:r>
      <w:proofErr w:type="spellEnd"/>
      <w:r w:rsidRPr="0025775D">
        <w:rPr>
          <w:sz w:val="20"/>
          <w:szCs w:val="20"/>
          <w:lang w:val="en-IE"/>
        </w:rPr>
        <w:t xml:space="preserve"> measurement prior to surgery, postoperatively and then 6, 12, 18, and 24 months after radiation. The primary outcome was de</w:t>
      </w:r>
      <w:r w:rsidRPr="0025775D">
        <w:rPr>
          <w:rFonts w:eastAsia="Calibri"/>
          <w:sz w:val="20"/>
          <w:szCs w:val="20"/>
          <w:lang w:val="en-IE"/>
        </w:rPr>
        <w:t>fi</w:t>
      </w:r>
      <w:r w:rsidRPr="0025775D">
        <w:rPr>
          <w:sz w:val="20"/>
          <w:szCs w:val="20"/>
          <w:lang w:val="en-IE"/>
        </w:rPr>
        <w:t xml:space="preserve">ned as a </w:t>
      </w:r>
      <w:r w:rsidRPr="0025775D">
        <w:rPr>
          <w:rFonts w:eastAsia="Calibri"/>
          <w:sz w:val="20"/>
          <w:szCs w:val="20"/>
          <w:lang w:val="en-IE"/>
        </w:rPr>
        <w:t xml:space="preserve">≥ </w:t>
      </w:r>
      <w:r w:rsidRPr="0025775D">
        <w:rPr>
          <w:sz w:val="20"/>
          <w:szCs w:val="20"/>
          <w:lang w:val="en-IE"/>
        </w:rPr>
        <w:t xml:space="preserve">10% relative difference in arm volume on at least one post-radiation </w:t>
      </w:r>
      <w:proofErr w:type="spellStart"/>
      <w:r w:rsidRPr="0025775D">
        <w:rPr>
          <w:sz w:val="20"/>
          <w:szCs w:val="20"/>
          <w:lang w:val="en-IE"/>
        </w:rPr>
        <w:t>perometry</w:t>
      </w:r>
      <w:proofErr w:type="spellEnd"/>
      <w:r w:rsidRPr="0025775D">
        <w:rPr>
          <w:sz w:val="20"/>
          <w:szCs w:val="20"/>
          <w:lang w:val="en-IE"/>
        </w:rPr>
        <w:t xml:space="preserve"> assessment, normalized by the pre-operative </w:t>
      </w:r>
      <w:proofErr w:type="spellStart"/>
      <w:r w:rsidRPr="0025775D">
        <w:rPr>
          <w:sz w:val="20"/>
          <w:szCs w:val="20"/>
          <w:lang w:val="en-IE"/>
        </w:rPr>
        <w:t>perometry</w:t>
      </w:r>
      <w:proofErr w:type="spellEnd"/>
      <w:r w:rsidRPr="0025775D">
        <w:rPr>
          <w:sz w:val="20"/>
          <w:szCs w:val="20"/>
          <w:lang w:val="en-IE"/>
        </w:rPr>
        <w:t xml:space="preserve"> measurement. Secondary outcomes included comparison of physician-reported toxicities using the NCI CTCAE version 4.0 scale graded weekly during RT, at 6 months, and then annually. Fisher</w:t>
      </w:r>
      <w:r w:rsidRPr="0025775D">
        <w:rPr>
          <w:rFonts w:eastAsia="Calibri"/>
          <w:sz w:val="20"/>
          <w:szCs w:val="20"/>
          <w:lang w:val="en-IE"/>
        </w:rPr>
        <w:t>’</w:t>
      </w:r>
      <w:r w:rsidRPr="0025775D">
        <w:rPr>
          <w:sz w:val="20"/>
          <w:szCs w:val="20"/>
          <w:lang w:val="en-IE"/>
        </w:rPr>
        <w:t>s exact tests compared groups. Local-regional recurrence (LRR) was calculated using the Kaplan-Meier method and compared using the log-rank test.</w:t>
      </w:r>
    </w:p>
    <w:p w:rsidR="006D5EF8" w:rsidRPr="0025775D" w:rsidRDefault="000524B4" w:rsidP="002B1C54">
      <w:pPr>
        <w:spacing w:line="360" w:lineRule="auto"/>
        <w:ind w:left="-5"/>
        <w:jc w:val="left"/>
        <w:rPr>
          <w:sz w:val="20"/>
          <w:szCs w:val="20"/>
          <w:lang w:val="en-IE"/>
        </w:rPr>
      </w:pPr>
      <w:r w:rsidRPr="0025775D">
        <w:rPr>
          <w:rFonts w:eastAsia="Calibri"/>
          <w:b/>
          <w:sz w:val="20"/>
          <w:szCs w:val="20"/>
          <w:lang w:val="en-IE"/>
        </w:rPr>
        <w:t>Results:</w:t>
      </w:r>
      <w:r w:rsidRPr="0025775D">
        <w:rPr>
          <w:rFonts w:eastAsia="Calibri"/>
          <w:sz w:val="20"/>
          <w:szCs w:val="20"/>
          <w:lang w:val="en-IE"/>
        </w:rPr>
        <w:t xml:space="preserve"> </w:t>
      </w:r>
      <w:r w:rsidRPr="0025775D">
        <w:rPr>
          <w:sz w:val="20"/>
          <w:szCs w:val="20"/>
          <w:lang w:val="en-IE"/>
        </w:rPr>
        <w:t xml:space="preserve">There were three hundred twenty-four patients across 5 treatment </w:t>
      </w:r>
      <w:proofErr w:type="spellStart"/>
      <w:r w:rsidRPr="0025775D">
        <w:rPr>
          <w:sz w:val="20"/>
          <w:szCs w:val="20"/>
          <w:lang w:val="en-IE"/>
        </w:rPr>
        <w:t>centers</w:t>
      </w:r>
      <w:proofErr w:type="spellEnd"/>
      <w:r w:rsidRPr="0025775D">
        <w:rPr>
          <w:sz w:val="20"/>
          <w:szCs w:val="20"/>
          <w:lang w:val="en-IE"/>
        </w:rPr>
        <w:t xml:space="preserve"> were enrolled and randomized from 2017 to 2022 with median follow up of 4.75 years. Clinical-pathologic covariates were well-balanced by treatment arm. Median age was 54 years, 64% were non-Hispanic White, and 39% had body mass index (BMI) &gt; 30. 57% underwent mastectomy with or without reconstruction and 42% underwent segmental mastectomy. Sixty-eight percent underwent axillary lymph node dissection and 90% received chemotherapy. </w:t>
      </w:r>
      <w:proofErr w:type="spellStart"/>
      <w:r w:rsidRPr="0025775D">
        <w:rPr>
          <w:sz w:val="20"/>
          <w:szCs w:val="20"/>
          <w:lang w:val="en-IE"/>
        </w:rPr>
        <w:t>Perometry</w:t>
      </w:r>
      <w:proofErr w:type="spellEnd"/>
      <w:r w:rsidRPr="0025775D">
        <w:rPr>
          <w:sz w:val="20"/>
          <w:szCs w:val="20"/>
          <w:lang w:val="en-IE"/>
        </w:rPr>
        <w:t>-assessed lymphedema, the primary outcome, was less common after SH-RNI (29%) than STD-RNI (36%), but the difference was not statistically signi</w:t>
      </w:r>
      <w:r w:rsidRPr="0025775D">
        <w:rPr>
          <w:rFonts w:eastAsia="Calibri"/>
          <w:sz w:val="20"/>
          <w:szCs w:val="20"/>
          <w:lang w:val="en-IE"/>
        </w:rPr>
        <w:t>fi</w:t>
      </w:r>
      <w:r w:rsidRPr="0025775D">
        <w:rPr>
          <w:sz w:val="20"/>
          <w:szCs w:val="20"/>
          <w:lang w:val="en-IE"/>
        </w:rPr>
        <w:t xml:space="preserve">cant (P = 0.24). In contrast, </w:t>
      </w:r>
      <w:proofErr w:type="spellStart"/>
      <w:r w:rsidRPr="0025775D">
        <w:rPr>
          <w:sz w:val="20"/>
          <w:szCs w:val="20"/>
          <w:lang w:val="en-IE"/>
        </w:rPr>
        <w:lastRenderedPageBreak/>
        <w:t>physicianassessed</w:t>
      </w:r>
      <w:proofErr w:type="spellEnd"/>
      <w:r w:rsidRPr="0025775D">
        <w:rPr>
          <w:sz w:val="20"/>
          <w:szCs w:val="20"/>
          <w:lang w:val="en-IE"/>
        </w:rPr>
        <w:t xml:space="preserve"> lymphedema was signi</w:t>
      </w:r>
      <w:r w:rsidRPr="0025775D">
        <w:rPr>
          <w:rFonts w:eastAsia="Calibri"/>
          <w:sz w:val="20"/>
          <w:szCs w:val="20"/>
          <w:lang w:val="en-IE"/>
        </w:rPr>
        <w:t>fi</w:t>
      </w:r>
      <w:r w:rsidRPr="0025775D">
        <w:rPr>
          <w:sz w:val="20"/>
          <w:szCs w:val="20"/>
          <w:lang w:val="en-IE"/>
        </w:rPr>
        <w:t xml:space="preserve">cantly less common with SH-RNI than STD-RNI (15% vs. 27%, P = 0.009). Patients randomized to SH-RNI were less likely to experience any grade </w:t>
      </w:r>
      <w:r w:rsidRPr="0025775D">
        <w:rPr>
          <w:rFonts w:eastAsia="Calibri"/>
          <w:sz w:val="20"/>
          <w:szCs w:val="20"/>
          <w:lang w:val="en-IE"/>
        </w:rPr>
        <w:t xml:space="preserve">≥ </w:t>
      </w:r>
      <w:r w:rsidRPr="0025775D">
        <w:rPr>
          <w:sz w:val="20"/>
          <w:szCs w:val="20"/>
          <w:lang w:val="en-IE"/>
        </w:rPr>
        <w:t xml:space="preserve">2 toxicity (52% vs. 78%, P </w:t>
      </w:r>
      <w:r w:rsidRPr="0025775D">
        <w:rPr>
          <w:rFonts w:eastAsia="Calibri"/>
          <w:sz w:val="20"/>
          <w:szCs w:val="20"/>
          <w:lang w:val="en-IE"/>
        </w:rPr>
        <w:t xml:space="preserve">&lt; </w:t>
      </w:r>
      <w:r w:rsidRPr="0025775D">
        <w:rPr>
          <w:sz w:val="20"/>
          <w:szCs w:val="20"/>
          <w:lang w:val="en-IE"/>
        </w:rPr>
        <w:t>0.001).</w:t>
      </w:r>
      <w:r w:rsidR="0025775D" w:rsidRPr="0025775D">
        <w:rPr>
          <w:sz w:val="20"/>
          <w:szCs w:val="20"/>
          <w:lang w:val="en-IE"/>
        </w:rPr>
        <w:t xml:space="preserve"> </w:t>
      </w:r>
    </w:p>
    <w:p w:rsidR="006D5EF8" w:rsidRPr="0025775D" w:rsidRDefault="000524B4" w:rsidP="002B1C54">
      <w:pPr>
        <w:spacing w:line="360" w:lineRule="auto"/>
        <w:ind w:left="0" w:firstLine="0"/>
        <w:jc w:val="left"/>
        <w:rPr>
          <w:sz w:val="20"/>
          <w:szCs w:val="20"/>
          <w:lang w:val="en-IE"/>
        </w:rPr>
      </w:pPr>
      <w:r w:rsidRPr="0025775D">
        <w:rPr>
          <w:sz w:val="20"/>
          <w:szCs w:val="20"/>
          <w:lang w:val="en-IE"/>
        </w:rPr>
        <w:t>Pneumonitis was uncommon and similar between groups (3% vs 2%, P = 0.46). There were no brachial plexopathy events. Five-year LRR risk was 3% with SH-RNI and 2% with STD-RNI (P = 0.48).</w:t>
      </w:r>
    </w:p>
    <w:p w:rsidR="006D5EF8" w:rsidRPr="0025775D" w:rsidRDefault="000524B4" w:rsidP="002B1C54">
      <w:pPr>
        <w:spacing w:after="65" w:line="360" w:lineRule="auto"/>
        <w:ind w:left="0"/>
        <w:jc w:val="left"/>
        <w:rPr>
          <w:sz w:val="20"/>
          <w:szCs w:val="20"/>
          <w:lang w:val="en-IE"/>
        </w:rPr>
      </w:pPr>
      <w:r w:rsidRPr="0025775D">
        <w:rPr>
          <w:rFonts w:eastAsia="Calibri"/>
          <w:b/>
          <w:sz w:val="20"/>
          <w:szCs w:val="20"/>
          <w:lang w:val="en-IE"/>
        </w:rPr>
        <w:t>Conclusion:</w:t>
      </w:r>
      <w:r w:rsidRPr="0025775D">
        <w:rPr>
          <w:rFonts w:eastAsia="Calibri"/>
          <w:sz w:val="20"/>
          <w:szCs w:val="20"/>
          <w:lang w:val="en-IE"/>
        </w:rPr>
        <w:t xml:space="preserve"> </w:t>
      </w:r>
      <w:r w:rsidRPr="0025775D">
        <w:rPr>
          <w:sz w:val="20"/>
          <w:szCs w:val="20"/>
          <w:lang w:val="en-IE"/>
        </w:rPr>
        <w:t xml:space="preserve">In this primary outcome analysis of a multisite phase III randomized clinical trial, SH-RNI did not lower risk of </w:t>
      </w:r>
      <w:proofErr w:type="spellStart"/>
      <w:r w:rsidRPr="0025775D">
        <w:rPr>
          <w:sz w:val="20"/>
          <w:szCs w:val="20"/>
          <w:lang w:val="en-IE"/>
        </w:rPr>
        <w:t>perometry</w:t>
      </w:r>
      <w:proofErr w:type="spellEnd"/>
      <w:r w:rsidRPr="0025775D">
        <w:rPr>
          <w:sz w:val="20"/>
          <w:szCs w:val="20"/>
          <w:lang w:val="en-IE"/>
        </w:rPr>
        <w:t>-assessed lymphedema. However, SH-RNI conferred a low risk of LRR and reduced the risk of physician-reported lymphedema and grade 2 or higher toxicity when compared to STD-RNI.</w:t>
      </w:r>
    </w:p>
    <w:sectPr w:rsidR="006D5EF8" w:rsidRPr="0025775D" w:rsidSect="002B1C54">
      <w:type w:val="continuous"/>
      <w:pgSz w:w="11520" w:h="15479"/>
      <w:pgMar w:top="638" w:right="1314" w:bottom="1134" w:left="1418" w:header="708" w:footer="708" w:gutter="0"/>
      <w:cols w:space="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F8"/>
    <w:rsid w:val="000524B4"/>
    <w:rsid w:val="0025775D"/>
    <w:rsid w:val="002B1C54"/>
    <w:rsid w:val="005C73A3"/>
    <w:rsid w:val="006D5EF8"/>
    <w:rsid w:val="00F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3293"/>
  <w15:docId w15:val="{4EA295F2-E8AF-4237-8C05-C6F032F4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71" w:lineRule="auto"/>
      <w:ind w:left="53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3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EEE6-67BC-4F97-A420-F0049515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Vyroubalová Eva</dc:creator>
  <cp:keywords/>
  <cp:lastModifiedBy>Vyroubalová Eva</cp:lastModifiedBy>
  <cp:revision>6</cp:revision>
  <dcterms:created xsi:type="dcterms:W3CDTF">2024-11-06T09:57:00Z</dcterms:created>
  <dcterms:modified xsi:type="dcterms:W3CDTF">2024-11-11T07:46:00Z</dcterms:modified>
</cp:coreProperties>
</file>