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A6" w:rsidRPr="00C052E5" w:rsidRDefault="001D61E0" w:rsidP="007938C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052E5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Primary Results from NRG-GU005: A Phase III Trial of SBRT vs. </w:t>
      </w:r>
      <w:proofErr w:type="spellStart"/>
      <w:r w:rsidRPr="00C052E5">
        <w:rPr>
          <w:rFonts w:ascii="Times New Roman" w:eastAsia="Calibri" w:hAnsi="Times New Roman" w:cs="Times New Roman"/>
          <w:b/>
          <w:sz w:val="24"/>
          <w:szCs w:val="24"/>
          <w:lang w:val="en-GB"/>
        </w:rPr>
        <w:t>Hypofractionated</w:t>
      </w:r>
      <w:proofErr w:type="spellEnd"/>
      <w:r w:rsidRPr="00C052E5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IMRT for Localized Intermediate Risk Prostate Cancer</w:t>
      </w:r>
    </w:p>
    <w:p w:rsidR="001D61E0" w:rsidRPr="00C052E5" w:rsidRDefault="001D61E0">
      <w:pPr>
        <w:rPr>
          <w:rFonts w:ascii="Times New Roman" w:hAnsi="Times New Roman" w:cs="Times New Roman"/>
          <w:lang w:val="en-GB"/>
        </w:rPr>
      </w:pPr>
    </w:p>
    <w:p w:rsidR="001D61E0" w:rsidRPr="00C052E5" w:rsidRDefault="001D61E0" w:rsidP="001D61E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052E5">
        <w:rPr>
          <w:rFonts w:ascii="Times New Roman" w:hAnsi="Times New Roman" w:cs="Times New Roman"/>
          <w:sz w:val="20"/>
          <w:szCs w:val="20"/>
          <w:lang w:val="en-GB"/>
        </w:rPr>
        <w:t>R.J. Ellis,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S. Pugh,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2,3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J.B. Yu,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4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F.Y. Feng,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5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A.A. Konski,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6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R. Grubb,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7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R.E. Wallace,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8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D.J. Gladstone,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9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C. Menard,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10,11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A.J. Frazier,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12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J.D. Pennington,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13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J.M. Michalski,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14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D.E. Spratt,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15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A.A. Martinez,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16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S.C. Morgan,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17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A.M. Mihai,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18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R. Paulus,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19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and H.M. Sandler</w:t>
      </w:r>
      <w:r w:rsidRPr="00C052E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20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</w:p>
    <w:p w:rsidR="001D61E0" w:rsidRPr="00C052E5" w:rsidRDefault="001D61E0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1D61E0" w:rsidRPr="00C052E5" w:rsidRDefault="001D61E0" w:rsidP="0047496D">
      <w:pPr>
        <w:spacing w:after="0" w:line="360" w:lineRule="auto"/>
        <w:ind w:right="4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University of South Florida/Tampa General Hospital, Tampa, FL,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2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NRG Oncology Statistics and Data Management </w:t>
      </w:r>
      <w:proofErr w:type="spellStart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Center</w:t>
      </w:r>
      <w:proofErr w:type="spellEnd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Philadelphia, PA,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3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The American College of Radiology, Philadelphia, PA,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4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Department of Radiation Oncology and Applied Sciences, Dartmouth Geisel School of Medicine, Lebanon, NH,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5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University of California at San Francisco, San Francisco, CA,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6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Department of Radiation Oncology, Perelman School of Medicine, University of Pennsylvania, Philadelphia, PA,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7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Medical University of South Carolina, Charleston, SC,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8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Cedars-Sinai Medical </w:t>
      </w:r>
      <w:proofErr w:type="spellStart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Center</w:t>
      </w:r>
      <w:proofErr w:type="spellEnd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Los Angeles, CA,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9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Geisel School of Medicine at Dartmouth &amp; Norris Cotton Cancer </w:t>
      </w:r>
      <w:proofErr w:type="spellStart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Center</w:t>
      </w:r>
      <w:proofErr w:type="spellEnd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Dartmouth Hitchcock Medical </w:t>
      </w:r>
      <w:proofErr w:type="spellStart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Center</w:t>
      </w:r>
      <w:proofErr w:type="spellEnd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Lebanon, NH,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10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Departement de radio-</w:t>
      </w:r>
      <w:proofErr w:type="spellStart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oncologie</w:t>
      </w:r>
      <w:proofErr w:type="spellEnd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Centre de Recherche du Centre </w:t>
      </w:r>
      <w:proofErr w:type="spellStart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Hospitalier</w:t>
      </w:r>
      <w:proofErr w:type="spellEnd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 de </w:t>
      </w:r>
      <w:proofErr w:type="spellStart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l</w:t>
      </w:r>
      <w:r w:rsidRPr="00C052E5">
        <w:rPr>
          <w:rFonts w:ascii="Times New Roman" w:eastAsia="Calibri" w:hAnsi="Times New Roman" w:cs="Times New Roman"/>
          <w:i/>
          <w:sz w:val="20"/>
          <w:szCs w:val="20"/>
          <w:lang w:val="en-GB"/>
        </w:rPr>
        <w:t>’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Universite</w:t>
      </w:r>
      <w:proofErr w:type="spellEnd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 de Montreal (CRCHUM), Montreal, QC, Canada,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11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Department of radiation oncology, CHUM, Montreal, QC, Canada,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12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McLaren Cancer Institute-Macomb, Mount Clemens, MI,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13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Southeast Clinical Oncology Research Consortium NCORP, Winston</w:t>
      </w:r>
      <w:r w:rsidR="0047496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bookmarkStart w:id="0" w:name="_GoBack"/>
      <w:bookmarkEnd w:id="0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Salem, NC,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14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Department of Radiation Oncology, Washington University School of Medicine, St Louis, MO,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15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Case Western Reserve University, Cleveland, OH,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16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GenesisCare USA, Fort Myers, FL,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17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The Ottawa Hospital Cancer Centre, Ottawa, ON, Canada,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18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Beacon Hospital and Cancer Trials Ireland, Dublin, Ireland,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19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The American College of Radiology, Philadelphia, PA, </w:t>
      </w:r>
      <w:r w:rsidRPr="00C052E5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20</w:t>
      </w:r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 xml:space="preserve">Department of Radiation Oncology, Cedars-Sinai Medical </w:t>
      </w:r>
      <w:proofErr w:type="spellStart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Center</w:t>
      </w:r>
      <w:proofErr w:type="spellEnd"/>
      <w:r w:rsidRPr="00C052E5">
        <w:rPr>
          <w:rFonts w:ascii="Times New Roman" w:hAnsi="Times New Roman" w:cs="Times New Roman"/>
          <w:i/>
          <w:sz w:val="20"/>
          <w:szCs w:val="20"/>
          <w:lang w:val="en-GB"/>
        </w:rPr>
        <w:t>, Los Angeles, CA</w:t>
      </w:r>
    </w:p>
    <w:p w:rsidR="007938CA" w:rsidRPr="00C052E5" w:rsidRDefault="007938CA" w:rsidP="001D61E0">
      <w:pPr>
        <w:spacing w:after="0" w:line="36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</w:p>
    <w:p w:rsidR="007938CA" w:rsidRPr="00C052E5" w:rsidRDefault="001D61E0" w:rsidP="007938CA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052E5">
        <w:rPr>
          <w:rFonts w:ascii="Times New Roman" w:eastAsia="Calibri" w:hAnsi="Times New Roman" w:cs="Times New Roman"/>
          <w:b/>
          <w:sz w:val="20"/>
          <w:szCs w:val="20"/>
          <w:lang w:val="en-GB"/>
        </w:rPr>
        <w:t>Purpose/Objective(s):</w:t>
      </w:r>
      <w:r w:rsidRPr="00C052E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This randomized non-blinded phase III trial compared stereotactic body radiation therapy (SBRT) to moderately </w:t>
      </w:r>
      <w:proofErr w:type="spellStart"/>
      <w:r w:rsidRPr="00C052E5">
        <w:rPr>
          <w:rFonts w:ascii="Times New Roman" w:hAnsi="Times New Roman" w:cs="Times New Roman"/>
          <w:sz w:val="20"/>
          <w:szCs w:val="20"/>
          <w:lang w:val="en-GB"/>
        </w:rPr>
        <w:t>hypofractionated</w:t>
      </w:r>
      <w:proofErr w:type="spellEnd"/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 intensity-modulated radiation therapy (M-IMRT) in localized intermediate risk prostate cancer patients and was designed for superiority of disease-free survival (DFS) and patient-reported health related quality of life (HRQOL). </w:t>
      </w:r>
    </w:p>
    <w:p w:rsidR="001D61E0" w:rsidRPr="00C052E5" w:rsidRDefault="001D61E0" w:rsidP="007938CA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052E5">
        <w:rPr>
          <w:rFonts w:ascii="Times New Roman" w:eastAsia="Calibri" w:hAnsi="Times New Roman" w:cs="Times New Roman"/>
          <w:b/>
          <w:sz w:val="20"/>
          <w:szCs w:val="20"/>
          <w:lang w:val="en-GB"/>
        </w:rPr>
        <w:t>Materials/Methods:</w:t>
      </w:r>
      <w:r w:rsidRPr="00C052E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The NRG-GU005 trial enrolled patients with intermediate-risk prostate cancer and were randomized 1:1 to receive SBRT (36.25 </w:t>
      </w:r>
      <w:proofErr w:type="spellStart"/>
      <w:r w:rsidRPr="00C052E5">
        <w:rPr>
          <w:rFonts w:ascii="Times New Roman" w:hAnsi="Times New Roman" w:cs="Times New Roman"/>
          <w:sz w:val="20"/>
          <w:szCs w:val="20"/>
          <w:lang w:val="en-GB"/>
        </w:rPr>
        <w:t>Gy</w:t>
      </w:r>
      <w:proofErr w:type="spellEnd"/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 in 5 fractions) or IMRT (70 </w:t>
      </w:r>
      <w:proofErr w:type="spellStart"/>
      <w:r w:rsidRPr="00C052E5">
        <w:rPr>
          <w:rFonts w:ascii="Times New Roman" w:hAnsi="Times New Roman" w:cs="Times New Roman"/>
          <w:sz w:val="20"/>
          <w:szCs w:val="20"/>
          <w:lang w:val="en-GB"/>
        </w:rPr>
        <w:t>Gy</w:t>
      </w:r>
      <w:proofErr w:type="spellEnd"/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 in 28 fractions or 60 </w:t>
      </w:r>
      <w:proofErr w:type="spellStart"/>
      <w:r w:rsidRPr="00C052E5">
        <w:rPr>
          <w:rFonts w:ascii="Times New Roman" w:hAnsi="Times New Roman" w:cs="Times New Roman"/>
          <w:sz w:val="20"/>
          <w:szCs w:val="20"/>
          <w:lang w:val="en-GB"/>
        </w:rPr>
        <w:t>Gy</w:t>
      </w:r>
      <w:proofErr w:type="spellEnd"/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 in 20 fractions). The HRQOL co-primary endpoint was designed to show 10% and 8% absolute reductions in the frequency of a minimal clinically important decline (MCID) in bowel and urinary irritation/obstruction (UIO) domains, respectively, at 24 months. The Expanded Prostate Cancer Index Composite (EPIC-26) regional failure, distant metastasis, or death from any cause, was designed to detect a 38% relative improvement with SBRT. Both endpoints had interim futility analyses.</w:t>
      </w:r>
    </w:p>
    <w:p w:rsidR="001D61E0" w:rsidRPr="00C052E5" w:rsidRDefault="001D61E0" w:rsidP="007938CA">
      <w:pPr>
        <w:spacing w:after="0" w:line="360" w:lineRule="auto"/>
        <w:ind w:left="-4"/>
        <w:rPr>
          <w:rFonts w:ascii="Times New Roman" w:hAnsi="Times New Roman" w:cs="Times New Roman"/>
          <w:sz w:val="20"/>
          <w:szCs w:val="20"/>
          <w:lang w:val="en-GB"/>
        </w:rPr>
      </w:pPr>
      <w:r w:rsidRPr="00C052E5">
        <w:rPr>
          <w:rFonts w:ascii="Times New Roman" w:eastAsia="Calibri" w:hAnsi="Times New Roman" w:cs="Times New Roman"/>
          <w:b/>
          <w:sz w:val="20"/>
          <w:szCs w:val="20"/>
          <w:lang w:val="en-GB"/>
        </w:rPr>
        <w:t>Results:</w:t>
      </w:r>
      <w:r w:rsidRPr="00C052E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A total of 698 patients were randomized, with 353 in the SBRT arm and 345 in the IMRT arm. At 2 years post-treatment, 82.5% of MH-IMRT and 85.1% SBRT patients completed the EPIC-26. Of those, 97.5% and 96.2% had scorable bowel and UIO domains. Baseline characteristics and bowel and UIO domains were balanced between groups. There were signi</w:t>
      </w:r>
      <w:r w:rsidRPr="00C052E5">
        <w:rPr>
          <w:rFonts w:ascii="Times New Roman" w:eastAsia="Calibri" w:hAnsi="Times New Roman" w:cs="Times New Roman"/>
          <w:sz w:val="20"/>
          <w:szCs w:val="20"/>
          <w:lang w:val="en-GB"/>
        </w:rPr>
        <w:t>fi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cantly fewer patients in the SBRT arm who experienced a 2-year MCID in bowel HRQOL (34.9% vs. 43.8%, p=0.034). MCID frequency for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lastRenderedPageBreak/>
        <w:t>the UIO domain was not signi</w:t>
      </w:r>
      <w:r w:rsidRPr="00C052E5">
        <w:rPr>
          <w:rFonts w:ascii="Times New Roman" w:eastAsia="Calibri" w:hAnsi="Times New Roman" w:cs="Times New Roman"/>
          <w:sz w:val="20"/>
          <w:szCs w:val="20"/>
          <w:lang w:val="en-GB"/>
        </w:rPr>
        <w:t>fi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cantly different between SBRT and IMRT (33.7% vs. 34.7%, p=0.68). The analysis of the longitudinal bowel domain scores showed a signi</w:t>
      </w:r>
      <w:r w:rsidRPr="00C052E5">
        <w:rPr>
          <w:rFonts w:ascii="Times New Roman" w:eastAsia="Calibri" w:hAnsi="Times New Roman" w:cs="Times New Roman"/>
          <w:sz w:val="20"/>
          <w:szCs w:val="20"/>
          <w:lang w:val="en-GB"/>
        </w:rPr>
        <w:t>fi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cant treatment effect in </w:t>
      </w:r>
      <w:proofErr w:type="spellStart"/>
      <w:r w:rsidRPr="00C052E5">
        <w:rPr>
          <w:rFonts w:ascii="Times New Roman" w:hAnsi="Times New Roman" w:cs="Times New Roman"/>
          <w:sz w:val="20"/>
          <w:szCs w:val="20"/>
          <w:lang w:val="en-GB"/>
        </w:rPr>
        <w:t>favor</w:t>
      </w:r>
      <w:proofErr w:type="spellEnd"/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 of SBRT (least square [LS] mean=2.68, 95% CI: 1.02, 4.34; p=0.0016). Using a rectal spacer occurred in 56% SBRT vs 55% IMRT subjects and resulted further in superior EPIC bowel domain scores (LS mean=-2.81, 95% CI: -4.49, -1.13; p=0.0011). The futility bound for DFS was crossed in the interim analysis, indicating lack of superiority for SBRT over </w:t>
      </w:r>
      <w:proofErr w:type="spellStart"/>
      <w:r w:rsidRPr="00C052E5">
        <w:rPr>
          <w:rFonts w:ascii="Times New Roman" w:hAnsi="Times New Roman" w:cs="Times New Roman"/>
          <w:sz w:val="20"/>
          <w:szCs w:val="20"/>
          <w:lang w:val="en-GB"/>
        </w:rPr>
        <w:t>hypofractionated</w:t>
      </w:r>
      <w:proofErr w:type="spellEnd"/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 IMRT (3-year rates of 88.6%, 95% con</w:t>
      </w:r>
      <w:r w:rsidRPr="00C052E5">
        <w:rPr>
          <w:rFonts w:ascii="Times New Roman" w:eastAsia="Calibri" w:hAnsi="Times New Roman" w:cs="Times New Roman"/>
          <w:sz w:val="20"/>
          <w:szCs w:val="20"/>
          <w:lang w:val="en-GB"/>
        </w:rPr>
        <w:t>fi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>dence interval [CI]: 85.2-92.1 for SBRT vs. 92.1%, 95% CI: 88.9-95.2for IMRT). Minimal local or distant failures were reported, however cumulative instance of biochemical failure was lower at 3 years in IMRT as compared to SBRT (4.2%, 95% CI: 2.3-7.0 vs. 7.8%, 95% CI: 5.2-11.0, p=0.0367).</w:t>
      </w:r>
    </w:p>
    <w:p w:rsidR="001D61E0" w:rsidRPr="00C052E5" w:rsidRDefault="001D61E0" w:rsidP="007938CA">
      <w:pPr>
        <w:spacing w:after="0" w:line="360" w:lineRule="auto"/>
        <w:ind w:left="-4"/>
        <w:rPr>
          <w:rFonts w:ascii="Times New Roman" w:hAnsi="Times New Roman" w:cs="Times New Roman"/>
          <w:sz w:val="20"/>
          <w:szCs w:val="20"/>
          <w:lang w:val="en-GB"/>
        </w:rPr>
      </w:pPr>
      <w:r w:rsidRPr="00C052E5">
        <w:rPr>
          <w:rFonts w:ascii="Times New Roman" w:eastAsia="Calibri" w:hAnsi="Times New Roman" w:cs="Times New Roman"/>
          <w:b/>
          <w:sz w:val="20"/>
          <w:szCs w:val="20"/>
          <w:lang w:val="en-GB"/>
        </w:rPr>
        <w:t>Conclusion:</w:t>
      </w:r>
      <w:r w:rsidRPr="00C052E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SBRT to a dose of 36.25 </w:t>
      </w:r>
      <w:proofErr w:type="spellStart"/>
      <w:r w:rsidRPr="00C052E5">
        <w:rPr>
          <w:rFonts w:ascii="Times New Roman" w:hAnsi="Times New Roman" w:cs="Times New Roman"/>
          <w:sz w:val="20"/>
          <w:szCs w:val="20"/>
          <w:lang w:val="en-GB"/>
        </w:rPr>
        <w:t>Gy</w:t>
      </w:r>
      <w:proofErr w:type="spellEnd"/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 resulted in </w:t>
      </w:r>
      <w:proofErr w:type="spellStart"/>
      <w:r w:rsidRPr="00C052E5">
        <w:rPr>
          <w:rFonts w:ascii="Times New Roman" w:hAnsi="Times New Roman" w:cs="Times New Roman"/>
          <w:sz w:val="20"/>
          <w:szCs w:val="20"/>
          <w:lang w:val="en-GB"/>
        </w:rPr>
        <w:t>favorable</w:t>
      </w:r>
      <w:proofErr w:type="spellEnd"/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 bowel HRQOL based on patient reported outcomes compared to M-IMRT. Urinary HRQOL was not signi</w:t>
      </w:r>
      <w:r w:rsidRPr="00C052E5">
        <w:rPr>
          <w:rFonts w:ascii="Times New Roman" w:eastAsia="Calibri" w:hAnsi="Times New Roman" w:cs="Times New Roman"/>
          <w:sz w:val="20"/>
          <w:szCs w:val="20"/>
          <w:lang w:val="en-GB"/>
        </w:rPr>
        <w:t>fi</w:t>
      </w:r>
      <w:r w:rsidRPr="00C052E5">
        <w:rPr>
          <w:rFonts w:ascii="Times New Roman" w:hAnsi="Times New Roman" w:cs="Times New Roman"/>
          <w:sz w:val="20"/>
          <w:szCs w:val="20"/>
          <w:lang w:val="en-GB"/>
        </w:rPr>
        <w:t xml:space="preserve">cantly different. At 36.25 </w:t>
      </w:r>
      <w:proofErr w:type="spellStart"/>
      <w:r w:rsidRPr="00C052E5">
        <w:rPr>
          <w:rFonts w:ascii="Times New Roman" w:hAnsi="Times New Roman" w:cs="Times New Roman"/>
          <w:sz w:val="20"/>
          <w:szCs w:val="20"/>
          <w:lang w:val="en-GB"/>
        </w:rPr>
        <w:t>Gy</w:t>
      </w:r>
      <w:proofErr w:type="spellEnd"/>
      <w:r w:rsidRPr="00C052E5">
        <w:rPr>
          <w:rFonts w:ascii="Times New Roman" w:hAnsi="Times New Roman" w:cs="Times New Roman"/>
          <w:sz w:val="20"/>
          <w:szCs w:val="20"/>
          <w:lang w:val="en-GB"/>
        </w:rPr>
        <w:t>, there was a lack of improvement in DFS for SBRT over IMRT.</w:t>
      </w:r>
    </w:p>
    <w:p w:rsidR="001D61E0" w:rsidRPr="00C052E5" w:rsidRDefault="001D61E0" w:rsidP="007938CA">
      <w:pPr>
        <w:spacing w:after="0" w:line="360" w:lineRule="auto"/>
        <w:rPr>
          <w:rFonts w:ascii="Times New Roman" w:hAnsi="Times New Roman" w:cs="Times New Roman"/>
          <w:lang w:val="en-GB"/>
        </w:rPr>
      </w:pPr>
    </w:p>
    <w:sectPr w:rsidR="001D61E0" w:rsidRPr="00C052E5" w:rsidSect="007938CA">
      <w:pgSz w:w="11906" w:h="16838"/>
      <w:pgMar w:top="1418" w:right="1758" w:bottom="1418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E0"/>
    <w:rsid w:val="001D61E0"/>
    <w:rsid w:val="003935A6"/>
    <w:rsid w:val="0047496D"/>
    <w:rsid w:val="0055315F"/>
    <w:rsid w:val="007938CA"/>
    <w:rsid w:val="00C0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9426"/>
  <w15:chartTrackingRefBased/>
  <w15:docId w15:val="{5B243958-FBF9-4822-B303-39B22786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Krupová Aneta, Ing.</dc:creator>
  <cp:keywords/>
  <dc:description/>
  <cp:lastModifiedBy>Vyroubalová Eva</cp:lastModifiedBy>
  <cp:revision>5</cp:revision>
  <dcterms:created xsi:type="dcterms:W3CDTF">2025-10-03T10:11:00Z</dcterms:created>
  <dcterms:modified xsi:type="dcterms:W3CDTF">2025-10-03T11:34:00Z</dcterms:modified>
</cp:coreProperties>
</file>