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155" w:rsidRDefault="00D81155">
      <w:pPr>
        <w:tabs>
          <w:tab w:val="center" w:pos="1397"/>
          <w:tab w:val="right" w:pos="10042"/>
        </w:tabs>
        <w:spacing w:after="0" w:line="259" w:lineRule="auto"/>
        <w:ind w:left="0" w:firstLine="0"/>
        <w:jc w:val="left"/>
      </w:pPr>
    </w:p>
    <w:p w:rsidR="00D81155" w:rsidRDefault="00D81155">
      <w:pPr>
        <w:sectPr w:rsidR="00D81155">
          <w:pgSz w:w="11520" w:h="15479"/>
          <w:pgMar w:top="674" w:right="718" w:bottom="1440" w:left="761" w:header="708" w:footer="708" w:gutter="0"/>
          <w:cols w:space="708"/>
        </w:sectPr>
      </w:pPr>
    </w:p>
    <w:p w:rsidR="00D42230" w:rsidRDefault="00D42230" w:rsidP="00D42230">
      <w:pPr>
        <w:spacing w:after="0" w:line="262" w:lineRule="auto"/>
        <w:ind w:left="0" w:right="102" w:firstLine="0"/>
        <w:jc w:val="left"/>
        <w:rPr>
          <w:rFonts w:eastAsia="Calibri"/>
          <w:b/>
          <w:sz w:val="20"/>
          <w:szCs w:val="20"/>
        </w:rPr>
      </w:pPr>
    </w:p>
    <w:p w:rsidR="00D81155" w:rsidRPr="00220F1F" w:rsidRDefault="007725CB" w:rsidP="00F302EF">
      <w:pPr>
        <w:spacing w:after="0" w:line="360" w:lineRule="auto"/>
        <w:ind w:left="0" w:right="102" w:firstLine="0"/>
        <w:jc w:val="left"/>
        <w:rPr>
          <w:rFonts w:eastAsia="Calibri"/>
          <w:b/>
          <w:sz w:val="24"/>
          <w:szCs w:val="24"/>
          <w:lang w:val="en-IE"/>
        </w:rPr>
      </w:pPr>
      <w:r w:rsidRPr="00220F1F">
        <w:rPr>
          <w:rFonts w:eastAsia="Calibri"/>
          <w:b/>
          <w:sz w:val="24"/>
          <w:szCs w:val="24"/>
          <w:lang w:val="en-IE"/>
        </w:rPr>
        <w:t>Neoadjuvant Chemoradiation (CROSS) vs. Perioperative</w:t>
      </w:r>
      <w:r w:rsidR="00D42230" w:rsidRPr="00220F1F">
        <w:rPr>
          <w:b/>
          <w:sz w:val="24"/>
          <w:szCs w:val="24"/>
          <w:lang w:val="en-IE"/>
        </w:rPr>
        <w:t xml:space="preserve"> </w:t>
      </w:r>
      <w:r w:rsidRPr="00220F1F">
        <w:rPr>
          <w:rFonts w:eastAsia="Calibri"/>
          <w:b/>
          <w:sz w:val="24"/>
          <w:szCs w:val="24"/>
          <w:lang w:val="en-IE"/>
        </w:rPr>
        <w:t xml:space="preserve">Chemotherapy (FLOT) in </w:t>
      </w:r>
      <w:proofErr w:type="spellStart"/>
      <w:r w:rsidRPr="00220F1F">
        <w:rPr>
          <w:rFonts w:eastAsia="Calibri"/>
          <w:b/>
          <w:sz w:val="24"/>
          <w:szCs w:val="24"/>
          <w:lang w:val="en-IE"/>
        </w:rPr>
        <w:t>Esophageal</w:t>
      </w:r>
      <w:proofErr w:type="spellEnd"/>
      <w:r w:rsidRPr="00220F1F">
        <w:rPr>
          <w:rFonts w:eastAsia="Calibri"/>
          <w:b/>
          <w:sz w:val="24"/>
          <w:szCs w:val="24"/>
          <w:lang w:val="en-IE"/>
        </w:rPr>
        <w:t xml:space="preserve"> Adenocarcinoma</w:t>
      </w:r>
      <w:r w:rsidR="00D42230" w:rsidRPr="00220F1F">
        <w:rPr>
          <w:b/>
          <w:sz w:val="24"/>
          <w:szCs w:val="24"/>
          <w:lang w:val="en-IE"/>
        </w:rPr>
        <w:t xml:space="preserve"> </w:t>
      </w:r>
      <w:r w:rsidRPr="00220F1F">
        <w:rPr>
          <w:rFonts w:eastAsia="Calibri"/>
          <w:b/>
          <w:sz w:val="24"/>
          <w:szCs w:val="24"/>
          <w:lang w:val="en-IE"/>
        </w:rPr>
        <w:t>(EAC): ESOPEC − a Randomised Controlled Prospective Multicentre Phase III Trial</w:t>
      </w:r>
    </w:p>
    <w:p w:rsidR="00D42230" w:rsidRPr="00D42230" w:rsidRDefault="00D42230" w:rsidP="00F302EF">
      <w:pPr>
        <w:spacing w:after="0" w:line="360" w:lineRule="auto"/>
        <w:ind w:left="0" w:right="102" w:firstLine="0"/>
        <w:jc w:val="left"/>
        <w:rPr>
          <w:b/>
          <w:sz w:val="24"/>
          <w:szCs w:val="24"/>
        </w:rPr>
      </w:pPr>
    </w:p>
    <w:p w:rsidR="00D42230" w:rsidRPr="00D42230" w:rsidRDefault="007725CB" w:rsidP="00F302EF">
      <w:pPr>
        <w:spacing w:after="41" w:line="360" w:lineRule="auto"/>
        <w:ind w:left="-5"/>
        <w:rPr>
          <w:sz w:val="20"/>
          <w:szCs w:val="20"/>
        </w:rPr>
      </w:pPr>
      <w:r w:rsidRPr="00D80444">
        <w:rPr>
          <w:sz w:val="20"/>
          <w:szCs w:val="20"/>
        </w:rPr>
        <w:t>T.B. Brunner,</w:t>
      </w:r>
      <w:r w:rsidRPr="00D80444">
        <w:rPr>
          <w:color w:val="0080AB"/>
          <w:sz w:val="20"/>
          <w:szCs w:val="20"/>
          <w:vertAlign w:val="superscript"/>
        </w:rPr>
        <w:t>1</w:t>
      </w:r>
      <w:r w:rsidRPr="00D80444">
        <w:rPr>
          <w:sz w:val="20"/>
          <w:szCs w:val="20"/>
          <w:vertAlign w:val="superscript"/>
        </w:rPr>
        <w:t>,</w:t>
      </w:r>
      <w:r w:rsidRPr="00D80444">
        <w:rPr>
          <w:color w:val="0080AB"/>
          <w:sz w:val="20"/>
          <w:szCs w:val="20"/>
          <w:vertAlign w:val="superscript"/>
        </w:rPr>
        <w:t xml:space="preserve">2 </w:t>
      </w:r>
      <w:r w:rsidRPr="00D80444">
        <w:rPr>
          <w:sz w:val="20"/>
          <w:szCs w:val="20"/>
        </w:rPr>
        <w:t>F. Lordick,</w:t>
      </w:r>
      <w:r w:rsidRPr="00D80444">
        <w:rPr>
          <w:color w:val="0080AB"/>
          <w:sz w:val="20"/>
          <w:szCs w:val="20"/>
          <w:vertAlign w:val="superscript"/>
        </w:rPr>
        <w:t xml:space="preserve">3 </w:t>
      </w:r>
      <w:r w:rsidRPr="00D80444">
        <w:rPr>
          <w:sz w:val="20"/>
          <w:szCs w:val="20"/>
        </w:rPr>
        <w:t>C. Schmoor,</w:t>
      </w:r>
      <w:r w:rsidRPr="00D80444">
        <w:rPr>
          <w:color w:val="0080AB"/>
          <w:sz w:val="20"/>
          <w:szCs w:val="20"/>
          <w:vertAlign w:val="superscript"/>
        </w:rPr>
        <w:t xml:space="preserve">4 </w:t>
      </w:r>
      <w:r w:rsidRPr="00D80444">
        <w:rPr>
          <w:sz w:val="20"/>
          <w:szCs w:val="20"/>
        </w:rPr>
        <w:t>H. Schmidberger,</w:t>
      </w:r>
      <w:r w:rsidRPr="00D80444">
        <w:rPr>
          <w:color w:val="0080AB"/>
          <w:sz w:val="20"/>
          <w:szCs w:val="20"/>
          <w:vertAlign w:val="superscript"/>
        </w:rPr>
        <w:t xml:space="preserve">5 </w:t>
      </w:r>
      <w:r w:rsidRPr="00D80444">
        <w:rPr>
          <w:sz w:val="20"/>
          <w:szCs w:val="20"/>
        </w:rPr>
        <w:t>S. Kirste,</w:t>
      </w:r>
      <w:r w:rsidRPr="00D80444">
        <w:rPr>
          <w:color w:val="0080AB"/>
          <w:sz w:val="20"/>
          <w:szCs w:val="20"/>
          <w:vertAlign w:val="superscript"/>
        </w:rPr>
        <w:t>6</w:t>
      </w:r>
      <w:r w:rsidR="00D42230" w:rsidRPr="00D80444">
        <w:rPr>
          <w:sz w:val="20"/>
          <w:szCs w:val="20"/>
        </w:rPr>
        <w:t xml:space="preserve"> </w:t>
      </w:r>
      <w:r w:rsidRPr="00D80444">
        <w:rPr>
          <w:sz w:val="20"/>
          <w:szCs w:val="20"/>
        </w:rPr>
        <w:t>S. Rieken,</w:t>
      </w:r>
      <w:r w:rsidRPr="00D80444">
        <w:rPr>
          <w:color w:val="0080AB"/>
          <w:sz w:val="20"/>
          <w:szCs w:val="20"/>
          <w:vertAlign w:val="superscript"/>
        </w:rPr>
        <w:t xml:space="preserve">7 </w:t>
      </w:r>
      <w:r w:rsidRPr="00D80444">
        <w:rPr>
          <w:sz w:val="20"/>
          <w:szCs w:val="20"/>
        </w:rPr>
        <w:t>C. Petersen,</w:t>
      </w:r>
      <w:r w:rsidRPr="00D80444">
        <w:rPr>
          <w:color w:val="0080AB"/>
          <w:sz w:val="20"/>
          <w:szCs w:val="20"/>
          <w:vertAlign w:val="superscript"/>
        </w:rPr>
        <w:t xml:space="preserve">8 </w:t>
      </w:r>
      <w:r w:rsidRPr="00D80444">
        <w:rPr>
          <w:sz w:val="20"/>
          <w:szCs w:val="20"/>
        </w:rPr>
        <w:t>N.H. Nicolay,</w:t>
      </w:r>
      <w:r w:rsidRPr="00D80444">
        <w:rPr>
          <w:color w:val="0080AB"/>
          <w:sz w:val="20"/>
          <w:szCs w:val="20"/>
          <w:vertAlign w:val="superscript"/>
        </w:rPr>
        <w:t xml:space="preserve">9 </w:t>
      </w:r>
      <w:r w:rsidRPr="00D80444">
        <w:rPr>
          <w:sz w:val="20"/>
          <w:szCs w:val="20"/>
        </w:rPr>
        <w:t>E. Fokas,</w:t>
      </w:r>
      <w:r w:rsidRPr="00D80444">
        <w:rPr>
          <w:color w:val="0080AB"/>
          <w:sz w:val="20"/>
          <w:szCs w:val="20"/>
          <w:vertAlign w:val="superscript"/>
        </w:rPr>
        <w:t xml:space="preserve">10 </w:t>
      </w:r>
      <w:r w:rsidRPr="00D80444">
        <w:rPr>
          <w:sz w:val="20"/>
          <w:szCs w:val="20"/>
        </w:rPr>
        <w:t>J. Dunst,</w:t>
      </w:r>
      <w:r w:rsidRPr="00D80444">
        <w:rPr>
          <w:color w:val="0080AB"/>
          <w:sz w:val="20"/>
          <w:szCs w:val="20"/>
          <w:vertAlign w:val="superscript"/>
        </w:rPr>
        <w:t xml:space="preserve">11 </w:t>
      </w:r>
      <w:r w:rsidRPr="00D80444">
        <w:rPr>
          <w:sz w:val="20"/>
          <w:szCs w:val="20"/>
        </w:rPr>
        <w:t>D. Rades,</w:t>
      </w:r>
      <w:r w:rsidRPr="00D80444">
        <w:rPr>
          <w:color w:val="0080AB"/>
          <w:sz w:val="20"/>
          <w:szCs w:val="20"/>
          <w:vertAlign w:val="superscript"/>
        </w:rPr>
        <w:t>1</w:t>
      </w:r>
      <w:r w:rsidR="00D80444">
        <w:rPr>
          <w:color w:val="0080AB"/>
          <w:sz w:val="20"/>
          <w:szCs w:val="20"/>
          <w:vertAlign w:val="superscript"/>
        </w:rPr>
        <w:t xml:space="preserve">2 </w:t>
      </w:r>
      <w:r w:rsidRPr="00D42230">
        <w:rPr>
          <w:sz w:val="20"/>
          <w:szCs w:val="20"/>
        </w:rPr>
        <w:t>M.J. Eble,</w:t>
      </w:r>
      <w:r w:rsidRPr="00D42230">
        <w:rPr>
          <w:color w:val="0080AB"/>
          <w:sz w:val="20"/>
          <w:szCs w:val="20"/>
          <w:vertAlign w:val="superscript"/>
        </w:rPr>
        <w:t xml:space="preserve">13 </w:t>
      </w:r>
      <w:r w:rsidRPr="00D42230">
        <w:rPr>
          <w:sz w:val="20"/>
          <w:szCs w:val="20"/>
        </w:rPr>
        <w:t>M. Krause,</w:t>
      </w:r>
      <w:r w:rsidRPr="00D42230">
        <w:rPr>
          <w:color w:val="0080AB"/>
          <w:sz w:val="20"/>
          <w:szCs w:val="20"/>
          <w:vertAlign w:val="superscript"/>
        </w:rPr>
        <w:t xml:space="preserve">14 </w:t>
      </w:r>
      <w:r w:rsidRPr="00D42230">
        <w:rPr>
          <w:sz w:val="20"/>
          <w:szCs w:val="20"/>
        </w:rPr>
        <w:t>C. Roedel,</w:t>
      </w:r>
      <w:r w:rsidRPr="00D42230">
        <w:rPr>
          <w:color w:val="0080AB"/>
          <w:sz w:val="20"/>
          <w:szCs w:val="20"/>
          <w:vertAlign w:val="superscript"/>
        </w:rPr>
        <w:t xml:space="preserve">15 </w:t>
      </w:r>
      <w:r w:rsidRPr="00D42230">
        <w:rPr>
          <w:sz w:val="20"/>
          <w:szCs w:val="20"/>
        </w:rPr>
        <w:t>D. Medenwald,</w:t>
      </w:r>
      <w:r w:rsidRPr="00D42230">
        <w:rPr>
          <w:color w:val="0080AB"/>
          <w:sz w:val="20"/>
          <w:szCs w:val="20"/>
          <w:vertAlign w:val="superscript"/>
        </w:rPr>
        <w:t xml:space="preserve">16 </w:t>
      </w:r>
      <w:r w:rsidRPr="00D42230">
        <w:rPr>
          <w:sz w:val="20"/>
          <w:szCs w:val="20"/>
        </w:rPr>
        <w:t>P. Niehoff,</w:t>
      </w:r>
      <w:r w:rsidRPr="00D42230">
        <w:rPr>
          <w:color w:val="0080AB"/>
          <w:sz w:val="20"/>
          <w:szCs w:val="20"/>
          <w:vertAlign w:val="superscript"/>
        </w:rPr>
        <w:t>17</w:t>
      </w:r>
      <w:r w:rsidR="00D42230" w:rsidRPr="00D42230">
        <w:rPr>
          <w:sz w:val="20"/>
          <w:szCs w:val="20"/>
        </w:rPr>
        <w:t xml:space="preserve"> </w:t>
      </w:r>
      <w:r w:rsidRPr="00D42230">
        <w:rPr>
          <w:sz w:val="20"/>
          <w:szCs w:val="20"/>
        </w:rPr>
        <w:t>A. Wittig-Sauerwein,</w:t>
      </w:r>
      <w:r w:rsidRPr="00D42230">
        <w:rPr>
          <w:color w:val="0080AB"/>
          <w:sz w:val="20"/>
          <w:szCs w:val="20"/>
          <w:vertAlign w:val="superscript"/>
        </w:rPr>
        <w:t xml:space="preserve">18 </w:t>
      </w:r>
      <w:r w:rsidRPr="00D42230">
        <w:rPr>
          <w:sz w:val="20"/>
          <w:szCs w:val="20"/>
        </w:rPr>
        <w:t>C. Baues,</w:t>
      </w:r>
      <w:r w:rsidRPr="00D42230">
        <w:rPr>
          <w:color w:val="0080AB"/>
          <w:sz w:val="20"/>
          <w:szCs w:val="20"/>
          <w:vertAlign w:val="superscript"/>
        </w:rPr>
        <w:t xml:space="preserve">19 </w:t>
      </w:r>
      <w:r w:rsidRPr="00D42230">
        <w:rPr>
          <w:sz w:val="20"/>
          <w:szCs w:val="20"/>
        </w:rPr>
        <w:t>A. Grosu,</w:t>
      </w:r>
      <w:r w:rsidRPr="00D42230">
        <w:rPr>
          <w:color w:val="0080AB"/>
          <w:sz w:val="20"/>
          <w:szCs w:val="20"/>
          <w:vertAlign w:val="superscript"/>
        </w:rPr>
        <w:t xml:space="preserve">20 </w:t>
      </w:r>
      <w:r w:rsidRPr="00D42230">
        <w:rPr>
          <w:sz w:val="20"/>
          <w:szCs w:val="20"/>
        </w:rPr>
        <w:t>and J. Hoeppner</w:t>
      </w:r>
      <w:r w:rsidRPr="00D42230">
        <w:rPr>
          <w:color w:val="0080AB"/>
          <w:sz w:val="20"/>
          <w:szCs w:val="20"/>
          <w:vertAlign w:val="superscript"/>
        </w:rPr>
        <w:t>21</w:t>
      </w:r>
      <w:r w:rsidRPr="00D42230">
        <w:rPr>
          <w:sz w:val="20"/>
          <w:szCs w:val="20"/>
        </w:rPr>
        <w:t xml:space="preserve">; </w:t>
      </w:r>
    </w:p>
    <w:p w:rsidR="00D42230" w:rsidRPr="00D42230" w:rsidRDefault="00D42230" w:rsidP="00F302EF">
      <w:pPr>
        <w:spacing w:after="1" w:line="360" w:lineRule="auto"/>
        <w:ind w:left="-5"/>
        <w:jc w:val="left"/>
        <w:rPr>
          <w:sz w:val="20"/>
          <w:szCs w:val="20"/>
          <w:vertAlign w:val="superscript"/>
        </w:rPr>
      </w:pPr>
    </w:p>
    <w:p w:rsidR="00864D87" w:rsidRDefault="007725CB" w:rsidP="00F302EF">
      <w:pPr>
        <w:spacing w:after="1" w:line="360" w:lineRule="auto"/>
        <w:ind w:left="-5"/>
        <w:jc w:val="left"/>
        <w:rPr>
          <w:i/>
          <w:sz w:val="20"/>
          <w:szCs w:val="20"/>
          <w:lang w:val="en-IE"/>
        </w:rPr>
      </w:pPr>
      <w:r w:rsidRPr="00D80444">
        <w:rPr>
          <w:i/>
          <w:sz w:val="20"/>
          <w:szCs w:val="20"/>
          <w:vertAlign w:val="superscript"/>
          <w:lang w:val="en-IE"/>
        </w:rPr>
        <w:t>1</w:t>
      </w:r>
      <w:r w:rsidRPr="00D80444">
        <w:rPr>
          <w:i/>
          <w:sz w:val="20"/>
          <w:szCs w:val="20"/>
          <w:lang w:val="en-IE"/>
        </w:rPr>
        <w:t xml:space="preserve">Medical University of Graz, Dept. of Radiation Oncology, Graz, Austria, </w:t>
      </w:r>
      <w:r w:rsidRPr="00D80444">
        <w:rPr>
          <w:i/>
          <w:sz w:val="20"/>
          <w:szCs w:val="20"/>
          <w:vertAlign w:val="superscript"/>
          <w:lang w:val="en-IE"/>
        </w:rPr>
        <w:t>2</w:t>
      </w:r>
      <w:r w:rsidRPr="00D80444">
        <w:rPr>
          <w:i/>
          <w:sz w:val="20"/>
          <w:szCs w:val="20"/>
          <w:lang w:val="en-IE"/>
        </w:rPr>
        <w:t xml:space="preserve">Department of Radiation Oncology, University Medical </w:t>
      </w:r>
      <w:proofErr w:type="spellStart"/>
      <w:r w:rsidRPr="00D80444">
        <w:rPr>
          <w:i/>
          <w:sz w:val="20"/>
          <w:szCs w:val="20"/>
          <w:lang w:val="en-IE"/>
        </w:rPr>
        <w:t>Center</w:t>
      </w:r>
      <w:proofErr w:type="spellEnd"/>
      <w:r w:rsidRPr="00D80444">
        <w:rPr>
          <w:i/>
          <w:sz w:val="20"/>
          <w:szCs w:val="20"/>
          <w:lang w:val="en-IE"/>
        </w:rPr>
        <w:t xml:space="preserve"> Freiburg, Freiburg, Germany, </w:t>
      </w:r>
      <w:r w:rsidRPr="00D80444">
        <w:rPr>
          <w:i/>
          <w:sz w:val="20"/>
          <w:szCs w:val="20"/>
          <w:vertAlign w:val="superscript"/>
          <w:lang w:val="en-IE"/>
        </w:rPr>
        <w:t>3</w:t>
      </w:r>
      <w:r w:rsidRPr="00D80444">
        <w:rPr>
          <w:i/>
          <w:sz w:val="20"/>
          <w:szCs w:val="20"/>
          <w:lang w:val="en-IE"/>
        </w:rPr>
        <w:t xml:space="preserve">University of Leipzig, Dept. of Medical Oncology, Leipzig, Germany, </w:t>
      </w:r>
      <w:r w:rsidRPr="00D80444">
        <w:rPr>
          <w:i/>
          <w:sz w:val="20"/>
          <w:szCs w:val="20"/>
          <w:vertAlign w:val="superscript"/>
          <w:lang w:val="en-IE"/>
        </w:rPr>
        <w:t>4</w:t>
      </w:r>
      <w:r w:rsidRPr="00D80444">
        <w:rPr>
          <w:i/>
          <w:sz w:val="20"/>
          <w:szCs w:val="20"/>
          <w:lang w:val="en-IE"/>
        </w:rPr>
        <w:t xml:space="preserve">University Hospitals Freiburg, Clinical Trials Unit, Freiburg, Germany, </w:t>
      </w:r>
      <w:r w:rsidRPr="00D80444">
        <w:rPr>
          <w:i/>
          <w:sz w:val="20"/>
          <w:szCs w:val="20"/>
          <w:vertAlign w:val="superscript"/>
          <w:lang w:val="en-IE"/>
        </w:rPr>
        <w:t>5</w:t>
      </w:r>
      <w:r w:rsidRPr="00D80444">
        <w:rPr>
          <w:i/>
          <w:sz w:val="20"/>
          <w:szCs w:val="20"/>
          <w:lang w:val="en-IE"/>
        </w:rPr>
        <w:t xml:space="preserve">Department of Radiotherapy and Radiation Oncology, University Hospital Mainz, Mainz, Germany, </w:t>
      </w:r>
      <w:r w:rsidRPr="00D80444">
        <w:rPr>
          <w:i/>
          <w:sz w:val="20"/>
          <w:szCs w:val="20"/>
          <w:vertAlign w:val="superscript"/>
          <w:lang w:val="en-IE"/>
        </w:rPr>
        <w:t>6</w:t>
      </w:r>
      <w:r w:rsidRPr="00D80444">
        <w:rPr>
          <w:i/>
          <w:sz w:val="20"/>
          <w:szCs w:val="20"/>
          <w:lang w:val="en-IE"/>
        </w:rPr>
        <w:t xml:space="preserve">German Cancer Consortium (DKTK), Partner Site Freiburg, Heidelberg, Germany, </w:t>
      </w:r>
      <w:r w:rsidRPr="00D80444">
        <w:rPr>
          <w:i/>
          <w:sz w:val="20"/>
          <w:szCs w:val="20"/>
          <w:vertAlign w:val="superscript"/>
          <w:lang w:val="en-IE"/>
        </w:rPr>
        <w:t>7</w:t>
      </w:r>
      <w:r w:rsidRPr="00D80444">
        <w:rPr>
          <w:i/>
          <w:sz w:val="20"/>
          <w:szCs w:val="20"/>
          <w:lang w:val="en-IE"/>
        </w:rPr>
        <w:t xml:space="preserve">Heidelberg University Hospital, Dept. of Radiation Oncology, Heidelberg, Germany, </w:t>
      </w:r>
      <w:r w:rsidRPr="00D80444">
        <w:rPr>
          <w:i/>
          <w:sz w:val="20"/>
          <w:szCs w:val="20"/>
          <w:vertAlign w:val="superscript"/>
          <w:lang w:val="en-IE"/>
        </w:rPr>
        <w:t>8</w:t>
      </w:r>
      <w:r w:rsidRPr="00D80444">
        <w:rPr>
          <w:i/>
          <w:sz w:val="20"/>
          <w:szCs w:val="20"/>
          <w:lang w:val="en-IE"/>
        </w:rPr>
        <w:t xml:space="preserve">Department of Radiotherapy and </w:t>
      </w:r>
      <w:proofErr w:type="spellStart"/>
      <w:r w:rsidRPr="00D80444">
        <w:rPr>
          <w:i/>
          <w:sz w:val="20"/>
          <w:szCs w:val="20"/>
          <w:lang w:val="en-IE"/>
        </w:rPr>
        <w:t>Radiooncology</w:t>
      </w:r>
      <w:proofErr w:type="spellEnd"/>
      <w:r w:rsidRPr="00D80444">
        <w:rPr>
          <w:i/>
          <w:sz w:val="20"/>
          <w:szCs w:val="20"/>
          <w:lang w:val="en-IE"/>
        </w:rPr>
        <w:t xml:space="preserve">, University Medical </w:t>
      </w:r>
      <w:proofErr w:type="spellStart"/>
      <w:r w:rsidRPr="00D80444">
        <w:rPr>
          <w:i/>
          <w:sz w:val="20"/>
          <w:szCs w:val="20"/>
          <w:lang w:val="en-IE"/>
        </w:rPr>
        <w:t>Center</w:t>
      </w:r>
      <w:proofErr w:type="spellEnd"/>
      <w:r w:rsidRPr="00D80444">
        <w:rPr>
          <w:i/>
          <w:sz w:val="20"/>
          <w:szCs w:val="20"/>
          <w:lang w:val="en-IE"/>
        </w:rPr>
        <w:t xml:space="preserve"> </w:t>
      </w:r>
      <w:proofErr w:type="spellStart"/>
      <w:r w:rsidRPr="00D80444">
        <w:rPr>
          <w:i/>
          <w:sz w:val="20"/>
          <w:szCs w:val="20"/>
          <w:lang w:val="en-IE"/>
        </w:rPr>
        <w:t>HamburgEppendorf</w:t>
      </w:r>
      <w:proofErr w:type="spellEnd"/>
      <w:r w:rsidRPr="00D80444">
        <w:rPr>
          <w:i/>
          <w:sz w:val="20"/>
          <w:szCs w:val="20"/>
          <w:lang w:val="en-IE"/>
        </w:rPr>
        <w:t xml:space="preserve">, Hamburg, Germany, </w:t>
      </w:r>
      <w:r w:rsidRPr="00D80444">
        <w:rPr>
          <w:i/>
          <w:sz w:val="20"/>
          <w:szCs w:val="20"/>
          <w:vertAlign w:val="superscript"/>
          <w:lang w:val="en-IE"/>
        </w:rPr>
        <w:t>9</w:t>
      </w:r>
      <w:r w:rsidRPr="00D80444">
        <w:rPr>
          <w:i/>
          <w:sz w:val="20"/>
          <w:szCs w:val="20"/>
          <w:lang w:val="en-IE"/>
        </w:rPr>
        <w:t xml:space="preserve">Department of Radiation Oncology, University of Leipzig Medical </w:t>
      </w:r>
      <w:proofErr w:type="spellStart"/>
      <w:r w:rsidRPr="00D80444">
        <w:rPr>
          <w:i/>
          <w:sz w:val="20"/>
          <w:szCs w:val="20"/>
          <w:lang w:val="en-IE"/>
        </w:rPr>
        <w:t>Center</w:t>
      </w:r>
      <w:proofErr w:type="spellEnd"/>
      <w:r w:rsidRPr="00D80444">
        <w:rPr>
          <w:i/>
          <w:sz w:val="20"/>
          <w:szCs w:val="20"/>
          <w:lang w:val="en-IE"/>
        </w:rPr>
        <w:t xml:space="preserve">, Leipzig, Germany, </w:t>
      </w:r>
      <w:r w:rsidRPr="00D80444">
        <w:rPr>
          <w:i/>
          <w:sz w:val="20"/>
          <w:szCs w:val="20"/>
          <w:vertAlign w:val="superscript"/>
          <w:lang w:val="en-IE"/>
        </w:rPr>
        <w:t>10</w:t>
      </w:r>
      <w:r w:rsidRPr="00D80444">
        <w:rPr>
          <w:i/>
          <w:sz w:val="20"/>
          <w:szCs w:val="20"/>
          <w:lang w:val="en-IE"/>
        </w:rPr>
        <w:t xml:space="preserve">Department of Radiation Oncology, </w:t>
      </w:r>
      <w:proofErr w:type="spellStart"/>
      <w:r w:rsidRPr="00D80444">
        <w:rPr>
          <w:i/>
          <w:sz w:val="20"/>
          <w:szCs w:val="20"/>
          <w:lang w:val="en-IE"/>
        </w:rPr>
        <w:t>Cyberknife</w:t>
      </w:r>
      <w:proofErr w:type="spellEnd"/>
      <w:r w:rsidRPr="00D80444">
        <w:rPr>
          <w:i/>
          <w:sz w:val="20"/>
          <w:szCs w:val="20"/>
          <w:lang w:val="en-IE"/>
        </w:rPr>
        <w:t xml:space="preserve"> and Radiotherapy, Faculty of Medicine and University Hospital Cologne, Cologne, Germany, </w:t>
      </w:r>
      <w:r w:rsidRPr="00D80444">
        <w:rPr>
          <w:i/>
          <w:sz w:val="20"/>
          <w:szCs w:val="20"/>
          <w:vertAlign w:val="superscript"/>
          <w:lang w:val="en-IE"/>
        </w:rPr>
        <w:t>11</w:t>
      </w:r>
      <w:r w:rsidRPr="00D80444">
        <w:rPr>
          <w:i/>
          <w:sz w:val="20"/>
          <w:szCs w:val="20"/>
          <w:lang w:val="en-IE"/>
        </w:rPr>
        <w:t>Universit</w:t>
      </w:r>
      <w:r w:rsidR="00864D87">
        <w:rPr>
          <w:i/>
          <w:sz w:val="20"/>
          <w:szCs w:val="20"/>
          <w:lang w:val="en-IE"/>
        </w:rPr>
        <w:t>ä</w:t>
      </w:r>
      <w:r w:rsidRPr="00D80444">
        <w:rPr>
          <w:i/>
          <w:sz w:val="20"/>
          <w:szCs w:val="20"/>
          <w:lang w:val="en-IE"/>
        </w:rPr>
        <w:t xml:space="preserve">tsklinikum Schleswig-Holstein, Campus Kiel, </w:t>
      </w:r>
      <w:proofErr w:type="spellStart"/>
      <w:r w:rsidRPr="00D80444">
        <w:rPr>
          <w:i/>
          <w:sz w:val="20"/>
          <w:szCs w:val="20"/>
          <w:lang w:val="en-IE"/>
        </w:rPr>
        <w:t>Klinik</w:t>
      </w:r>
      <w:proofErr w:type="spellEnd"/>
      <w:r w:rsidRPr="00D80444">
        <w:rPr>
          <w:i/>
          <w:sz w:val="20"/>
          <w:szCs w:val="20"/>
          <w:lang w:val="en-IE"/>
        </w:rPr>
        <w:t xml:space="preserve"> </w:t>
      </w:r>
      <w:proofErr w:type="spellStart"/>
      <w:r w:rsidRPr="00D80444">
        <w:rPr>
          <w:i/>
          <w:sz w:val="20"/>
          <w:szCs w:val="20"/>
          <w:lang w:val="en-IE"/>
        </w:rPr>
        <w:t>f</w:t>
      </w:r>
      <w:r w:rsidR="00864D87">
        <w:rPr>
          <w:i/>
          <w:sz w:val="20"/>
          <w:szCs w:val="20"/>
          <w:lang w:val="en-IE"/>
        </w:rPr>
        <w:t>ü</w:t>
      </w:r>
      <w:r w:rsidRPr="00D80444">
        <w:rPr>
          <w:i/>
          <w:sz w:val="20"/>
          <w:szCs w:val="20"/>
          <w:lang w:val="en-IE"/>
        </w:rPr>
        <w:t>r</w:t>
      </w:r>
      <w:proofErr w:type="spellEnd"/>
      <w:r w:rsidRPr="00D80444">
        <w:rPr>
          <w:i/>
          <w:sz w:val="20"/>
          <w:szCs w:val="20"/>
          <w:lang w:val="en-IE"/>
        </w:rPr>
        <w:t xml:space="preserve"> </w:t>
      </w:r>
      <w:proofErr w:type="spellStart"/>
      <w:r w:rsidRPr="00D80444">
        <w:rPr>
          <w:i/>
          <w:sz w:val="20"/>
          <w:szCs w:val="20"/>
          <w:lang w:val="en-IE"/>
        </w:rPr>
        <w:t>Strahlentherapie</w:t>
      </w:r>
      <w:proofErr w:type="spellEnd"/>
      <w:r w:rsidRPr="00D80444">
        <w:rPr>
          <w:i/>
          <w:sz w:val="20"/>
          <w:szCs w:val="20"/>
          <w:lang w:val="en-IE"/>
        </w:rPr>
        <w:t>, Kiel, Ger-</w:t>
      </w:r>
      <w:r w:rsidRPr="00D80444">
        <w:rPr>
          <w:rFonts w:eastAsia="Calibri"/>
          <w:i/>
          <w:sz w:val="20"/>
          <w:szCs w:val="20"/>
          <w:lang w:val="en-IE"/>
        </w:rPr>
        <w:t xml:space="preserve">€ </w:t>
      </w:r>
      <w:r w:rsidRPr="00D80444">
        <w:rPr>
          <w:i/>
          <w:sz w:val="20"/>
          <w:szCs w:val="20"/>
          <w:lang w:val="en-IE"/>
        </w:rPr>
        <w:t xml:space="preserve">many, </w:t>
      </w:r>
      <w:r w:rsidRPr="00D80444">
        <w:rPr>
          <w:i/>
          <w:sz w:val="20"/>
          <w:szCs w:val="20"/>
          <w:vertAlign w:val="superscript"/>
          <w:lang w:val="en-IE"/>
        </w:rPr>
        <w:t>12</w:t>
      </w:r>
      <w:r w:rsidRPr="00D80444">
        <w:rPr>
          <w:i/>
          <w:sz w:val="20"/>
          <w:szCs w:val="20"/>
          <w:lang w:val="en-IE"/>
        </w:rPr>
        <w:t>Department of Radiation Oncology, University of L</w:t>
      </w:r>
      <w:r w:rsidR="00864D87">
        <w:rPr>
          <w:i/>
          <w:sz w:val="20"/>
          <w:szCs w:val="20"/>
          <w:lang w:val="en-IE"/>
        </w:rPr>
        <w:t>ü</w:t>
      </w:r>
      <w:r w:rsidRPr="00D80444">
        <w:rPr>
          <w:i/>
          <w:sz w:val="20"/>
          <w:szCs w:val="20"/>
          <w:lang w:val="en-IE"/>
        </w:rPr>
        <w:t>beck, L</w:t>
      </w:r>
      <w:r w:rsidR="00864D87">
        <w:rPr>
          <w:i/>
          <w:sz w:val="20"/>
          <w:szCs w:val="20"/>
          <w:lang w:val="en-IE"/>
        </w:rPr>
        <w:t>ü</w:t>
      </w:r>
      <w:r w:rsidRPr="00D80444">
        <w:rPr>
          <w:i/>
          <w:sz w:val="20"/>
          <w:szCs w:val="20"/>
          <w:lang w:val="en-IE"/>
        </w:rPr>
        <w:t>beck,</w:t>
      </w:r>
      <w:r w:rsidRPr="00D80444">
        <w:rPr>
          <w:rFonts w:eastAsia="Calibri"/>
          <w:i/>
          <w:sz w:val="20"/>
          <w:szCs w:val="20"/>
          <w:lang w:val="en-IE"/>
        </w:rPr>
        <w:t xml:space="preserve"> </w:t>
      </w:r>
      <w:r w:rsidRPr="00D80444">
        <w:rPr>
          <w:i/>
          <w:sz w:val="20"/>
          <w:szCs w:val="20"/>
          <w:lang w:val="en-IE"/>
        </w:rPr>
        <w:t xml:space="preserve">Germany, </w:t>
      </w:r>
      <w:r w:rsidRPr="00D80444">
        <w:rPr>
          <w:i/>
          <w:sz w:val="20"/>
          <w:szCs w:val="20"/>
          <w:vertAlign w:val="superscript"/>
          <w:lang w:val="en-IE"/>
        </w:rPr>
        <w:t>13</w:t>
      </w:r>
      <w:r w:rsidRPr="00D80444">
        <w:rPr>
          <w:i/>
          <w:sz w:val="20"/>
          <w:szCs w:val="20"/>
          <w:lang w:val="en-IE"/>
        </w:rPr>
        <w:t>Department of Radiation Oncology, RWTH Aachen University,</w:t>
      </w:r>
      <w:r w:rsidR="00D42230" w:rsidRPr="00D80444">
        <w:rPr>
          <w:i/>
          <w:sz w:val="20"/>
          <w:szCs w:val="20"/>
          <w:lang w:val="en-IE"/>
        </w:rPr>
        <w:t xml:space="preserve"> </w:t>
      </w:r>
      <w:r w:rsidRPr="00D80444">
        <w:rPr>
          <w:i/>
          <w:sz w:val="20"/>
          <w:szCs w:val="20"/>
          <w:lang w:val="en-IE"/>
        </w:rPr>
        <w:t xml:space="preserve">Aachen, Germany, </w:t>
      </w:r>
      <w:r w:rsidRPr="00D80444">
        <w:rPr>
          <w:i/>
          <w:sz w:val="20"/>
          <w:szCs w:val="20"/>
          <w:vertAlign w:val="superscript"/>
          <w:lang w:val="en-IE"/>
        </w:rPr>
        <w:t>14</w:t>
      </w:r>
      <w:r w:rsidRPr="00D80444">
        <w:rPr>
          <w:i/>
          <w:sz w:val="20"/>
          <w:szCs w:val="20"/>
          <w:lang w:val="en-IE"/>
        </w:rPr>
        <w:t>Department of Radiotherapy and Radiation Oncology,</w:t>
      </w:r>
      <w:r w:rsidR="00D42230" w:rsidRPr="00D80444">
        <w:rPr>
          <w:i/>
          <w:sz w:val="20"/>
          <w:szCs w:val="20"/>
          <w:lang w:val="en-IE"/>
        </w:rPr>
        <w:t xml:space="preserve"> </w:t>
      </w:r>
      <w:r w:rsidRPr="00D80444">
        <w:rPr>
          <w:i/>
          <w:sz w:val="20"/>
          <w:szCs w:val="20"/>
          <w:lang w:val="en-IE"/>
        </w:rPr>
        <w:t xml:space="preserve">Faculty of Medicine and University Hospital Carl Gustav </w:t>
      </w:r>
      <w:proofErr w:type="spellStart"/>
      <w:r w:rsidRPr="00D80444">
        <w:rPr>
          <w:i/>
          <w:sz w:val="20"/>
          <w:szCs w:val="20"/>
          <w:lang w:val="en-IE"/>
        </w:rPr>
        <w:t>Carus</w:t>
      </w:r>
      <w:proofErr w:type="spellEnd"/>
      <w:r w:rsidRPr="00D80444">
        <w:rPr>
          <w:i/>
          <w:sz w:val="20"/>
          <w:szCs w:val="20"/>
          <w:lang w:val="en-IE"/>
        </w:rPr>
        <w:t xml:space="preserve">, </w:t>
      </w:r>
      <w:proofErr w:type="spellStart"/>
      <w:r w:rsidRPr="00D80444">
        <w:rPr>
          <w:i/>
          <w:sz w:val="20"/>
          <w:szCs w:val="20"/>
          <w:lang w:val="en-IE"/>
        </w:rPr>
        <w:t>Technische</w:t>
      </w:r>
      <w:proofErr w:type="spellEnd"/>
      <w:r w:rsidRPr="00D80444">
        <w:rPr>
          <w:i/>
          <w:sz w:val="20"/>
          <w:szCs w:val="20"/>
          <w:lang w:val="en-IE"/>
        </w:rPr>
        <w:t xml:space="preserve"> Universit</w:t>
      </w:r>
      <w:r w:rsidR="00864D87">
        <w:rPr>
          <w:rFonts w:eastAsia="Calibri"/>
          <w:i/>
          <w:sz w:val="20"/>
          <w:szCs w:val="20"/>
          <w:lang w:val="en-IE"/>
        </w:rPr>
        <w:t>ä</w:t>
      </w:r>
      <w:r w:rsidRPr="00D80444">
        <w:rPr>
          <w:i/>
          <w:sz w:val="20"/>
          <w:szCs w:val="20"/>
          <w:lang w:val="en-IE"/>
        </w:rPr>
        <w:t xml:space="preserve">t Dresden, Dresden, Germany, </w:t>
      </w:r>
      <w:r w:rsidRPr="00D80444">
        <w:rPr>
          <w:i/>
          <w:sz w:val="20"/>
          <w:szCs w:val="20"/>
          <w:vertAlign w:val="superscript"/>
          <w:lang w:val="en-IE"/>
        </w:rPr>
        <w:t>15</w:t>
      </w:r>
      <w:r w:rsidRPr="00D80444">
        <w:rPr>
          <w:i/>
          <w:sz w:val="20"/>
          <w:szCs w:val="20"/>
          <w:lang w:val="en-IE"/>
        </w:rPr>
        <w:t xml:space="preserve">Dept. Radiation Oncology, University Hospitals Frankfurt, Frankfurt, Germany, </w:t>
      </w:r>
      <w:r w:rsidRPr="00D80444">
        <w:rPr>
          <w:i/>
          <w:sz w:val="20"/>
          <w:szCs w:val="20"/>
          <w:vertAlign w:val="superscript"/>
          <w:lang w:val="en-IE"/>
        </w:rPr>
        <w:t>16</w:t>
      </w:r>
      <w:r w:rsidRPr="00D80444">
        <w:rPr>
          <w:i/>
          <w:sz w:val="20"/>
          <w:szCs w:val="20"/>
          <w:lang w:val="en-IE"/>
        </w:rPr>
        <w:t xml:space="preserve">Department of Radiation Oncology, University Hospitals Magdeburg, Magdeburg, Germany, </w:t>
      </w:r>
      <w:r w:rsidRPr="00D80444">
        <w:rPr>
          <w:i/>
          <w:sz w:val="20"/>
          <w:szCs w:val="20"/>
          <w:vertAlign w:val="superscript"/>
          <w:lang w:val="en-IE"/>
        </w:rPr>
        <w:t>17</w:t>
      </w:r>
      <w:r w:rsidRPr="00D80444">
        <w:rPr>
          <w:i/>
          <w:sz w:val="20"/>
          <w:szCs w:val="20"/>
          <w:lang w:val="en-IE"/>
        </w:rPr>
        <w:t xml:space="preserve">Sana Hospital, Offenbach, Germany, </w:t>
      </w:r>
      <w:r w:rsidRPr="00D80444">
        <w:rPr>
          <w:i/>
          <w:sz w:val="20"/>
          <w:szCs w:val="20"/>
          <w:vertAlign w:val="superscript"/>
          <w:lang w:val="en-IE"/>
        </w:rPr>
        <w:t>18</w:t>
      </w:r>
      <w:r w:rsidRPr="00D80444">
        <w:rPr>
          <w:i/>
          <w:sz w:val="20"/>
          <w:szCs w:val="20"/>
          <w:lang w:val="en-IE"/>
        </w:rPr>
        <w:t xml:space="preserve">Department of Radiation Oncology, University Hospital, University of </w:t>
      </w:r>
      <w:proofErr w:type="spellStart"/>
      <w:r w:rsidRPr="00D80444">
        <w:rPr>
          <w:i/>
          <w:sz w:val="20"/>
          <w:szCs w:val="20"/>
          <w:lang w:val="en-IE"/>
        </w:rPr>
        <w:t>Wuerzburg</w:t>
      </w:r>
      <w:proofErr w:type="spellEnd"/>
      <w:r w:rsidRPr="00D80444">
        <w:rPr>
          <w:i/>
          <w:sz w:val="20"/>
          <w:szCs w:val="20"/>
          <w:lang w:val="en-IE"/>
        </w:rPr>
        <w:t xml:space="preserve">, </w:t>
      </w:r>
      <w:proofErr w:type="spellStart"/>
      <w:r w:rsidRPr="00D80444">
        <w:rPr>
          <w:i/>
          <w:sz w:val="20"/>
          <w:szCs w:val="20"/>
          <w:lang w:val="en-IE"/>
        </w:rPr>
        <w:t>Wuerzburg</w:t>
      </w:r>
      <w:proofErr w:type="spellEnd"/>
      <w:r w:rsidRPr="00D80444">
        <w:rPr>
          <w:i/>
          <w:sz w:val="20"/>
          <w:szCs w:val="20"/>
          <w:lang w:val="en-IE"/>
        </w:rPr>
        <w:t xml:space="preserve">, Germany, </w:t>
      </w:r>
      <w:r w:rsidRPr="00D80444">
        <w:rPr>
          <w:i/>
          <w:sz w:val="20"/>
          <w:szCs w:val="20"/>
          <w:vertAlign w:val="superscript"/>
          <w:lang w:val="en-IE"/>
        </w:rPr>
        <w:t>19</w:t>
      </w:r>
      <w:r w:rsidRPr="00D80444">
        <w:rPr>
          <w:i/>
          <w:sz w:val="20"/>
          <w:szCs w:val="20"/>
          <w:lang w:val="en-IE"/>
        </w:rPr>
        <w:t xml:space="preserve">Department of </w:t>
      </w:r>
      <w:proofErr w:type="spellStart"/>
      <w:r w:rsidRPr="00D80444">
        <w:rPr>
          <w:i/>
          <w:sz w:val="20"/>
          <w:szCs w:val="20"/>
          <w:lang w:val="en-IE"/>
        </w:rPr>
        <w:t>Radiooncology</w:t>
      </w:r>
      <w:proofErr w:type="spellEnd"/>
      <w:r w:rsidRPr="00D80444">
        <w:rPr>
          <w:i/>
          <w:sz w:val="20"/>
          <w:szCs w:val="20"/>
          <w:lang w:val="en-IE"/>
        </w:rPr>
        <w:t xml:space="preserve">, </w:t>
      </w:r>
      <w:proofErr w:type="spellStart"/>
      <w:r w:rsidRPr="00D80444">
        <w:rPr>
          <w:i/>
          <w:sz w:val="20"/>
          <w:szCs w:val="20"/>
          <w:lang w:val="en-IE"/>
        </w:rPr>
        <w:t>Marienhospital</w:t>
      </w:r>
      <w:proofErr w:type="spellEnd"/>
      <w:r w:rsidRPr="00D80444">
        <w:rPr>
          <w:i/>
          <w:sz w:val="20"/>
          <w:szCs w:val="20"/>
          <w:lang w:val="en-IE"/>
        </w:rPr>
        <w:t xml:space="preserve"> Herne, Ruhr University Bochum, Bochum, Germany, Bochum, Germany, </w:t>
      </w:r>
      <w:r w:rsidRPr="00D80444">
        <w:rPr>
          <w:i/>
          <w:sz w:val="20"/>
          <w:szCs w:val="20"/>
          <w:vertAlign w:val="superscript"/>
          <w:lang w:val="en-IE"/>
        </w:rPr>
        <w:t>20</w:t>
      </w:r>
      <w:r w:rsidRPr="00D80444">
        <w:rPr>
          <w:i/>
          <w:sz w:val="20"/>
          <w:szCs w:val="20"/>
          <w:lang w:val="en-IE"/>
        </w:rPr>
        <w:t>German Cancer Consortium</w:t>
      </w:r>
      <w:r w:rsidR="00D42230" w:rsidRPr="00D80444">
        <w:rPr>
          <w:i/>
          <w:sz w:val="20"/>
          <w:szCs w:val="20"/>
          <w:lang w:val="en-IE"/>
        </w:rPr>
        <w:t xml:space="preserve"> </w:t>
      </w:r>
      <w:r w:rsidRPr="00D80444">
        <w:rPr>
          <w:i/>
          <w:sz w:val="20"/>
          <w:szCs w:val="20"/>
          <w:lang w:val="en-IE"/>
        </w:rPr>
        <w:t xml:space="preserve">(DKTK), Partner Site Freiburg, Freiburg, Germany, </w:t>
      </w:r>
      <w:r w:rsidRPr="00D80444">
        <w:rPr>
          <w:i/>
          <w:sz w:val="20"/>
          <w:szCs w:val="20"/>
          <w:vertAlign w:val="superscript"/>
          <w:lang w:val="en-IE"/>
        </w:rPr>
        <w:t>21</w:t>
      </w:r>
      <w:r w:rsidRPr="00D80444">
        <w:rPr>
          <w:i/>
          <w:sz w:val="20"/>
          <w:szCs w:val="20"/>
          <w:lang w:val="en-IE"/>
        </w:rPr>
        <w:t>University Hospitals OWL Bielefeld,</w:t>
      </w:r>
    </w:p>
    <w:p w:rsidR="00D81155" w:rsidRPr="00D80444" w:rsidRDefault="007725CB" w:rsidP="00F302EF">
      <w:pPr>
        <w:spacing w:after="1" w:line="360" w:lineRule="auto"/>
        <w:ind w:left="-5"/>
        <w:jc w:val="left"/>
        <w:rPr>
          <w:i/>
          <w:sz w:val="20"/>
          <w:szCs w:val="20"/>
          <w:lang w:val="en-IE"/>
        </w:rPr>
      </w:pPr>
      <w:bookmarkStart w:id="0" w:name="_GoBack"/>
      <w:bookmarkEnd w:id="0"/>
      <w:r w:rsidRPr="00D80444">
        <w:rPr>
          <w:i/>
          <w:sz w:val="20"/>
          <w:szCs w:val="20"/>
          <w:lang w:val="en-IE"/>
        </w:rPr>
        <w:t>Dept. of Surgery, Detmold, Germany</w:t>
      </w:r>
    </w:p>
    <w:p w:rsidR="00D42230" w:rsidRPr="00D42230" w:rsidRDefault="00D42230" w:rsidP="00F302EF">
      <w:pPr>
        <w:spacing w:after="1" w:line="360" w:lineRule="auto"/>
        <w:ind w:left="-5"/>
        <w:jc w:val="left"/>
        <w:rPr>
          <w:sz w:val="20"/>
          <w:szCs w:val="20"/>
        </w:rPr>
      </w:pPr>
    </w:p>
    <w:p w:rsidR="00D81155" w:rsidRPr="00F93FBE" w:rsidRDefault="007725CB" w:rsidP="00F302EF">
      <w:pPr>
        <w:spacing w:line="360" w:lineRule="auto"/>
        <w:ind w:left="-5"/>
        <w:rPr>
          <w:sz w:val="20"/>
          <w:szCs w:val="20"/>
          <w:lang w:val="en-IE"/>
        </w:rPr>
      </w:pPr>
      <w:r w:rsidRPr="00F93FBE">
        <w:rPr>
          <w:rFonts w:eastAsia="Calibri"/>
          <w:b/>
          <w:sz w:val="20"/>
          <w:szCs w:val="20"/>
          <w:lang w:val="en-IE"/>
        </w:rPr>
        <w:t>Purpose/Objective(s)</w:t>
      </w:r>
      <w:r w:rsidRPr="00F93FBE">
        <w:rPr>
          <w:rFonts w:eastAsia="Calibri"/>
          <w:sz w:val="20"/>
          <w:szCs w:val="20"/>
          <w:lang w:val="en-IE"/>
        </w:rPr>
        <w:t xml:space="preserve">: </w:t>
      </w:r>
      <w:r w:rsidRPr="00F93FBE">
        <w:rPr>
          <w:sz w:val="20"/>
          <w:szCs w:val="20"/>
          <w:lang w:val="en-IE"/>
        </w:rPr>
        <w:t>When designing the ESOPEC trial, the CROSS (C) regimen provided the highest level of evidence of neoadjuvant therapy for both, squamous cell (ESCC) and EAC. During recruitment into ESOPEC, the FLOT(F)-4 trial identi</w:t>
      </w:r>
      <w:r w:rsidRPr="00F93FBE">
        <w:rPr>
          <w:rFonts w:eastAsia="Calibri"/>
          <w:sz w:val="20"/>
          <w:szCs w:val="20"/>
          <w:lang w:val="en-IE"/>
        </w:rPr>
        <w:t>fi</w:t>
      </w:r>
      <w:r w:rsidRPr="00F93FBE">
        <w:rPr>
          <w:sz w:val="20"/>
          <w:szCs w:val="20"/>
          <w:lang w:val="en-IE"/>
        </w:rPr>
        <w:t>ed perioperative 5-</w:t>
      </w:r>
      <w:r w:rsidRPr="00F93FBE">
        <w:rPr>
          <w:rFonts w:eastAsia="Calibri"/>
          <w:sz w:val="20"/>
          <w:szCs w:val="20"/>
          <w:lang w:val="en-IE"/>
        </w:rPr>
        <w:t>fl</w:t>
      </w:r>
      <w:r w:rsidRPr="00F93FBE">
        <w:rPr>
          <w:sz w:val="20"/>
          <w:szCs w:val="20"/>
          <w:lang w:val="en-IE"/>
        </w:rPr>
        <w:t>uorouracil, leucovorin (L), oxaliplatin (O) and docetaxel (T) as best evidence of chemotherapy. The ESOPEC trial aimed to compare the two protocols exclusively in EAC and hypothesized F to be superior to C.</w:t>
      </w:r>
    </w:p>
    <w:p w:rsidR="00D81155" w:rsidRPr="00F93FBE" w:rsidRDefault="007725CB" w:rsidP="00F302EF">
      <w:pPr>
        <w:spacing w:line="360" w:lineRule="auto"/>
        <w:ind w:left="-5"/>
        <w:rPr>
          <w:sz w:val="20"/>
          <w:szCs w:val="20"/>
          <w:lang w:val="en-IE"/>
        </w:rPr>
      </w:pPr>
      <w:r w:rsidRPr="00F93FBE">
        <w:rPr>
          <w:rFonts w:eastAsia="Calibri"/>
          <w:b/>
          <w:sz w:val="20"/>
          <w:szCs w:val="20"/>
          <w:lang w:val="en-IE"/>
        </w:rPr>
        <w:t>Materials/Methods</w:t>
      </w:r>
      <w:r w:rsidRPr="00F93FBE">
        <w:rPr>
          <w:rFonts w:eastAsia="Calibri"/>
          <w:sz w:val="20"/>
          <w:szCs w:val="20"/>
          <w:lang w:val="en-IE"/>
        </w:rPr>
        <w:t xml:space="preserve">: </w:t>
      </w:r>
      <w:r w:rsidRPr="00F93FBE">
        <w:rPr>
          <w:sz w:val="20"/>
          <w:szCs w:val="20"/>
          <w:lang w:val="en-IE"/>
        </w:rPr>
        <w:t xml:space="preserve">Included were patients with cM0 EAC staged cT1 N+ or cT2-4a, cN0/+. C was the control arm with 41.4 </w:t>
      </w:r>
      <w:proofErr w:type="spellStart"/>
      <w:r w:rsidRPr="00F93FBE">
        <w:rPr>
          <w:sz w:val="20"/>
          <w:szCs w:val="20"/>
          <w:lang w:val="en-IE"/>
        </w:rPr>
        <w:t>Gy</w:t>
      </w:r>
      <w:proofErr w:type="spellEnd"/>
      <w:r w:rsidRPr="00F93FBE">
        <w:rPr>
          <w:sz w:val="20"/>
          <w:szCs w:val="20"/>
          <w:lang w:val="en-IE"/>
        </w:rPr>
        <w:t xml:space="preserve"> in 23 fractions and 5 weekly simultaneous doses of carboplatin (2 mg/ml/min AUC) and paclitaxel [(50 mg/m</w:t>
      </w:r>
      <w:r w:rsidRPr="00F93FBE">
        <w:rPr>
          <w:sz w:val="20"/>
          <w:szCs w:val="20"/>
          <w:vertAlign w:val="superscript"/>
          <w:lang w:val="en-IE"/>
        </w:rPr>
        <w:t>2</w:t>
      </w:r>
      <w:r w:rsidRPr="00F93FBE">
        <w:rPr>
          <w:sz w:val="20"/>
          <w:szCs w:val="20"/>
          <w:lang w:val="en-IE"/>
        </w:rPr>
        <w:t>); CP]. GTV and PTV were de</w:t>
      </w:r>
      <w:r w:rsidRPr="00F93FBE">
        <w:rPr>
          <w:rFonts w:eastAsia="Calibri"/>
          <w:sz w:val="20"/>
          <w:szCs w:val="20"/>
          <w:lang w:val="en-IE"/>
        </w:rPr>
        <w:t>fi</w:t>
      </w:r>
      <w:r w:rsidRPr="00F93FBE">
        <w:rPr>
          <w:sz w:val="20"/>
          <w:szCs w:val="20"/>
          <w:lang w:val="en-IE"/>
        </w:rPr>
        <w:t xml:space="preserve">ned as described by </w:t>
      </w:r>
      <w:proofErr w:type="spellStart"/>
      <w:r w:rsidRPr="00F93FBE">
        <w:rPr>
          <w:sz w:val="20"/>
          <w:szCs w:val="20"/>
          <w:lang w:val="en-IE"/>
        </w:rPr>
        <w:t>Matzinger</w:t>
      </w:r>
      <w:proofErr w:type="spellEnd"/>
      <w:r w:rsidRPr="00F93FBE">
        <w:rPr>
          <w:sz w:val="20"/>
          <w:szCs w:val="20"/>
          <w:lang w:val="en-IE"/>
        </w:rPr>
        <w:t xml:space="preserve"> et al. (</w:t>
      </w:r>
      <w:proofErr w:type="spellStart"/>
      <w:r w:rsidRPr="00F93FBE">
        <w:rPr>
          <w:sz w:val="20"/>
          <w:szCs w:val="20"/>
          <w:lang w:val="en-IE"/>
        </w:rPr>
        <w:t>doi</w:t>
      </w:r>
      <w:proofErr w:type="spellEnd"/>
      <w:r w:rsidRPr="00F93FBE">
        <w:rPr>
          <w:sz w:val="20"/>
          <w:szCs w:val="20"/>
          <w:lang w:val="en-IE"/>
        </w:rPr>
        <w:t xml:space="preserve">: </w:t>
      </w:r>
      <w:r w:rsidRPr="00F93FBE">
        <w:rPr>
          <w:sz w:val="20"/>
          <w:szCs w:val="20"/>
          <w:lang w:val="en-IE"/>
        </w:rPr>
        <w:lastRenderedPageBreak/>
        <w:t>10.1016/j.radonc.2009.03.018). F was the experimental arm with 5-</w:t>
      </w:r>
      <w:r w:rsidRPr="00F93FBE">
        <w:rPr>
          <w:rFonts w:eastAsia="Calibri"/>
          <w:sz w:val="20"/>
          <w:szCs w:val="20"/>
          <w:lang w:val="en-IE"/>
        </w:rPr>
        <w:t>fl</w:t>
      </w:r>
      <w:r w:rsidRPr="00F93FBE">
        <w:rPr>
          <w:sz w:val="20"/>
          <w:szCs w:val="20"/>
          <w:lang w:val="en-IE"/>
        </w:rPr>
        <w:t>uorouracil 2600 mg/m</w:t>
      </w:r>
      <w:r w:rsidRPr="00F93FBE">
        <w:rPr>
          <w:sz w:val="20"/>
          <w:szCs w:val="20"/>
          <w:vertAlign w:val="superscript"/>
          <w:lang w:val="en-IE"/>
        </w:rPr>
        <w:t xml:space="preserve">2 </w:t>
      </w:r>
      <w:r w:rsidRPr="00F93FBE">
        <w:rPr>
          <w:sz w:val="20"/>
          <w:szCs w:val="20"/>
          <w:lang w:val="en-IE"/>
        </w:rPr>
        <w:t>(24 hours), d1 L 200 mg/m</w:t>
      </w:r>
      <w:r w:rsidRPr="00F93FBE">
        <w:rPr>
          <w:sz w:val="20"/>
          <w:szCs w:val="20"/>
          <w:vertAlign w:val="superscript"/>
          <w:lang w:val="en-IE"/>
        </w:rPr>
        <w:t>2</w:t>
      </w:r>
      <w:r w:rsidRPr="00F93FBE">
        <w:rPr>
          <w:sz w:val="20"/>
          <w:szCs w:val="20"/>
          <w:lang w:val="en-IE"/>
        </w:rPr>
        <w:t>, d1 O 85 mg/m</w:t>
      </w:r>
      <w:r w:rsidRPr="00F93FBE">
        <w:rPr>
          <w:sz w:val="20"/>
          <w:szCs w:val="20"/>
          <w:vertAlign w:val="superscript"/>
          <w:lang w:val="en-IE"/>
        </w:rPr>
        <w:t>2</w:t>
      </w:r>
      <w:r w:rsidRPr="00F93FBE">
        <w:rPr>
          <w:sz w:val="20"/>
          <w:szCs w:val="20"/>
          <w:lang w:val="en-IE"/>
        </w:rPr>
        <w:t xml:space="preserve">, d1 T 50mg/m2, d1 every two weeks (q2w); 4 neoadjuvant cycles (8 weeks) prior to surgery and 4 adjuvant cycles (8 weeks) postoperatively. Esophagectomy was done 4-6 weeks after neoadjuvant therapies. Primary endpoint was overall survival (OS), secondary endpoints were progression free survival (PFS), </w:t>
      </w:r>
      <w:proofErr w:type="spellStart"/>
      <w:r w:rsidRPr="00F93FBE">
        <w:rPr>
          <w:sz w:val="20"/>
          <w:szCs w:val="20"/>
          <w:lang w:val="en-IE"/>
        </w:rPr>
        <w:t>ypTNM</w:t>
      </w:r>
      <w:proofErr w:type="spellEnd"/>
      <w:r w:rsidRPr="00F93FBE">
        <w:rPr>
          <w:sz w:val="20"/>
          <w:szCs w:val="20"/>
          <w:lang w:val="en-IE"/>
        </w:rPr>
        <w:t xml:space="preserve"> stage, </w:t>
      </w:r>
      <w:proofErr w:type="spellStart"/>
      <w:r w:rsidRPr="00F93FBE">
        <w:rPr>
          <w:sz w:val="20"/>
          <w:szCs w:val="20"/>
          <w:lang w:val="en-IE"/>
        </w:rPr>
        <w:t>tumor</w:t>
      </w:r>
      <w:proofErr w:type="spellEnd"/>
      <w:r w:rsidRPr="00F93FBE">
        <w:rPr>
          <w:sz w:val="20"/>
          <w:szCs w:val="20"/>
          <w:lang w:val="en-IE"/>
        </w:rPr>
        <w:t xml:space="preserve"> regression grading, recurrence free survival (RFS) in patients with R0/R1 resection, site of </w:t>
      </w:r>
      <w:proofErr w:type="spellStart"/>
      <w:r w:rsidRPr="00F93FBE">
        <w:rPr>
          <w:sz w:val="20"/>
          <w:szCs w:val="20"/>
          <w:lang w:val="en-IE"/>
        </w:rPr>
        <w:t>tumor</w:t>
      </w:r>
      <w:proofErr w:type="spellEnd"/>
      <w:r w:rsidRPr="00F93FBE">
        <w:rPr>
          <w:sz w:val="20"/>
          <w:szCs w:val="20"/>
          <w:lang w:val="en-IE"/>
        </w:rPr>
        <w:t xml:space="preserve"> recurrence, postoperative complications, adverse events, and quality of life. Sample size calculation was based on 1-sided signi</w:t>
      </w:r>
      <w:r w:rsidRPr="00F93FBE">
        <w:rPr>
          <w:rFonts w:eastAsia="Calibri"/>
          <w:sz w:val="20"/>
          <w:szCs w:val="20"/>
          <w:lang w:val="en-IE"/>
        </w:rPr>
        <w:t>fi</w:t>
      </w:r>
      <w:r w:rsidRPr="00F93FBE">
        <w:rPr>
          <w:sz w:val="20"/>
          <w:szCs w:val="20"/>
          <w:lang w:val="en-IE"/>
        </w:rPr>
        <w:t>cance level of 2.5% and 90% power assuming a hazard ratio (HR) of 0.645 with respect to OS, and required 218 death events (438 patients). Prospectively documented chemoradiotherapy speci</w:t>
      </w:r>
      <w:r w:rsidRPr="00F93FBE">
        <w:rPr>
          <w:rFonts w:eastAsia="Calibri"/>
          <w:sz w:val="20"/>
          <w:szCs w:val="20"/>
          <w:lang w:val="en-IE"/>
        </w:rPr>
        <w:t>fi</w:t>
      </w:r>
      <w:r w:rsidRPr="00F93FBE">
        <w:rPr>
          <w:sz w:val="20"/>
          <w:szCs w:val="20"/>
          <w:lang w:val="en-IE"/>
        </w:rPr>
        <w:t>c variables consisted in administered percentage of planned chemo- and radiotherapy, adherence to target volume de</w:t>
      </w:r>
      <w:r w:rsidRPr="00F93FBE">
        <w:rPr>
          <w:rFonts w:eastAsia="Calibri"/>
          <w:sz w:val="20"/>
          <w:szCs w:val="20"/>
          <w:lang w:val="en-IE"/>
        </w:rPr>
        <w:t>fi</w:t>
      </w:r>
      <w:r w:rsidRPr="00F93FBE">
        <w:rPr>
          <w:sz w:val="20"/>
          <w:szCs w:val="20"/>
          <w:lang w:val="en-IE"/>
        </w:rPr>
        <w:t>nitions, doses to organs at risk, speci</w:t>
      </w:r>
      <w:r w:rsidRPr="00F93FBE">
        <w:rPr>
          <w:rFonts w:eastAsia="Calibri"/>
          <w:sz w:val="20"/>
          <w:szCs w:val="20"/>
          <w:lang w:val="en-IE"/>
        </w:rPr>
        <w:t>fi</w:t>
      </w:r>
      <w:r w:rsidRPr="00F93FBE">
        <w:rPr>
          <w:sz w:val="20"/>
          <w:szCs w:val="20"/>
          <w:lang w:val="en-IE"/>
        </w:rPr>
        <w:t>cally heart and lungs.</w:t>
      </w:r>
    </w:p>
    <w:p w:rsidR="00D81155" w:rsidRPr="00F93FBE" w:rsidRDefault="007725CB" w:rsidP="00F302EF">
      <w:pPr>
        <w:spacing w:line="360" w:lineRule="auto"/>
        <w:ind w:left="-5"/>
        <w:rPr>
          <w:sz w:val="20"/>
          <w:szCs w:val="20"/>
          <w:lang w:val="en-IE"/>
        </w:rPr>
      </w:pPr>
      <w:r w:rsidRPr="00F93FBE">
        <w:rPr>
          <w:rFonts w:eastAsia="Calibri"/>
          <w:b/>
          <w:sz w:val="20"/>
          <w:szCs w:val="20"/>
          <w:lang w:val="en-IE"/>
        </w:rPr>
        <w:t>Results:</w:t>
      </w:r>
      <w:r w:rsidRPr="00F93FBE">
        <w:rPr>
          <w:rFonts w:eastAsia="Calibri"/>
          <w:sz w:val="20"/>
          <w:szCs w:val="20"/>
          <w:lang w:val="en-IE"/>
        </w:rPr>
        <w:t xml:space="preserve"> </w:t>
      </w:r>
      <w:r w:rsidRPr="00F93FBE">
        <w:rPr>
          <w:sz w:val="20"/>
          <w:szCs w:val="20"/>
          <w:lang w:val="en-IE"/>
        </w:rPr>
        <w:t xml:space="preserve">From 2/16 to 4/20, 438 patients were randomized to C (217) and F (221), intention-to-treat population (ITT). Characteristics were well balanced with mean age of 63 years, 89.3% males, 73.9% cT3, 6.7% cT4, 79.7% </w:t>
      </w:r>
      <w:proofErr w:type="spellStart"/>
      <w:r w:rsidRPr="00F93FBE">
        <w:rPr>
          <w:sz w:val="20"/>
          <w:szCs w:val="20"/>
          <w:lang w:val="en-IE"/>
        </w:rPr>
        <w:t>cN</w:t>
      </w:r>
      <w:proofErr w:type="spellEnd"/>
      <w:r w:rsidRPr="00F93FBE">
        <w:rPr>
          <w:sz w:val="20"/>
          <w:szCs w:val="20"/>
          <w:lang w:val="en-IE"/>
        </w:rPr>
        <w:t xml:space="preserve">+. Neoadjuvant treatment was started in 90.3% (196) vs 93.7% (207) in C vs F (per-protocol-population (PP)). In PP, full RT dose was given in 98.0% (192); 75.0% (147), 18.9% (37) and 6.1% (12) had 5, 4 or </w:t>
      </w:r>
      <w:r w:rsidRPr="00F93FBE">
        <w:rPr>
          <w:rFonts w:eastAsia="Calibri"/>
          <w:sz w:val="20"/>
          <w:szCs w:val="20"/>
          <w:lang w:val="en-IE"/>
        </w:rPr>
        <w:t>&lt;</w:t>
      </w:r>
      <w:r w:rsidRPr="00F93FBE">
        <w:rPr>
          <w:sz w:val="20"/>
          <w:szCs w:val="20"/>
          <w:lang w:val="en-IE"/>
        </w:rPr>
        <w:t xml:space="preserve">4 cycles of CP. In ITT, surgery rates were C 82.9% (180) vs F 86.4% (191). In 371 patients with surgery, local </w:t>
      </w:r>
      <w:proofErr w:type="spellStart"/>
      <w:r w:rsidRPr="00F93FBE">
        <w:rPr>
          <w:sz w:val="20"/>
          <w:szCs w:val="20"/>
          <w:lang w:val="en-IE"/>
        </w:rPr>
        <w:t>pCR</w:t>
      </w:r>
      <w:proofErr w:type="spellEnd"/>
      <w:r w:rsidRPr="00F93FBE">
        <w:rPr>
          <w:sz w:val="20"/>
          <w:szCs w:val="20"/>
          <w:lang w:val="en-IE"/>
        </w:rPr>
        <w:t xml:space="preserve"> rates were 13.3% (C) vs 18.3% (F), and near CR rates 39.4% (C) vs 25.1% (F). In 368 patients with R0/R1 resection, 3-year RFS after surgery was 36.5% (C) and 52.8% (F), median RFS was 17 (C) vs 43 (F) months (HR 0.68 [0.51 </w:t>
      </w:r>
      <w:r w:rsidRPr="00F93FBE">
        <w:rPr>
          <w:rFonts w:eastAsia="Calibri"/>
          <w:sz w:val="20"/>
          <w:szCs w:val="20"/>
          <w:lang w:val="en-IE"/>
        </w:rPr>
        <w:t xml:space="preserve">− </w:t>
      </w:r>
      <w:r w:rsidRPr="00F93FBE">
        <w:rPr>
          <w:sz w:val="20"/>
          <w:szCs w:val="20"/>
          <w:lang w:val="en-IE"/>
        </w:rPr>
        <w:t xml:space="preserve">0.90]; p = 0.0076). Postoperative morbidity was comparable. In ITT, 3-year-OS was 50.7% (C) and 57.4% (F), and median OS was 37 (C) vs 66 (F) months (HR 0.70 [0.53 </w:t>
      </w:r>
      <w:r w:rsidRPr="00F93FBE">
        <w:rPr>
          <w:rFonts w:eastAsia="Calibri"/>
          <w:sz w:val="20"/>
          <w:szCs w:val="20"/>
          <w:lang w:val="en-IE"/>
        </w:rPr>
        <w:t xml:space="preserve">− </w:t>
      </w:r>
      <w:r w:rsidRPr="00F93FBE">
        <w:rPr>
          <w:sz w:val="20"/>
          <w:szCs w:val="20"/>
          <w:lang w:val="en-IE"/>
        </w:rPr>
        <w:t>0.92]; p = 0.012).</w:t>
      </w:r>
    </w:p>
    <w:p w:rsidR="00D81155" w:rsidRDefault="007725CB" w:rsidP="00F302EF">
      <w:pPr>
        <w:spacing w:after="66" w:line="360" w:lineRule="auto"/>
        <w:ind w:left="-5"/>
        <w:rPr>
          <w:sz w:val="20"/>
          <w:szCs w:val="20"/>
        </w:rPr>
      </w:pPr>
      <w:r w:rsidRPr="00F93FBE">
        <w:rPr>
          <w:rFonts w:eastAsia="Calibri"/>
          <w:b/>
          <w:sz w:val="20"/>
          <w:szCs w:val="20"/>
          <w:lang w:val="en-IE"/>
        </w:rPr>
        <w:t>Conclusion</w:t>
      </w:r>
      <w:r w:rsidRPr="00F93FBE">
        <w:rPr>
          <w:rFonts w:eastAsia="Calibri"/>
          <w:sz w:val="20"/>
          <w:szCs w:val="20"/>
          <w:lang w:val="en-IE"/>
        </w:rPr>
        <w:t xml:space="preserve">: </w:t>
      </w:r>
      <w:r w:rsidRPr="00F93FBE">
        <w:rPr>
          <w:sz w:val="20"/>
          <w:szCs w:val="20"/>
          <w:lang w:val="en-IE"/>
        </w:rPr>
        <w:t xml:space="preserve">Both C and F were well tolerated. OS was superior after F vs C, and F should be preferred over C. </w:t>
      </w:r>
      <w:proofErr w:type="spellStart"/>
      <w:r w:rsidRPr="00F93FBE">
        <w:rPr>
          <w:sz w:val="20"/>
          <w:szCs w:val="20"/>
          <w:lang w:val="en-IE"/>
        </w:rPr>
        <w:t>Posthoc</w:t>
      </w:r>
      <w:proofErr w:type="spellEnd"/>
      <w:r w:rsidRPr="00F93FBE">
        <w:rPr>
          <w:sz w:val="20"/>
          <w:szCs w:val="20"/>
          <w:lang w:val="en-IE"/>
        </w:rPr>
        <w:t xml:space="preserve"> limitations of C were: baseline FDG-PET/CT not mandatory and absence of additive</w:t>
      </w:r>
      <w:r w:rsidRPr="00D42230">
        <w:rPr>
          <w:sz w:val="20"/>
          <w:szCs w:val="20"/>
        </w:rPr>
        <w:t xml:space="preserve"> </w:t>
      </w:r>
      <w:proofErr w:type="spellStart"/>
      <w:r w:rsidRPr="00D42230">
        <w:rPr>
          <w:sz w:val="20"/>
          <w:szCs w:val="20"/>
        </w:rPr>
        <w:t>immunotherapy</w:t>
      </w:r>
      <w:proofErr w:type="spellEnd"/>
      <w:r w:rsidRPr="00D42230">
        <w:rPr>
          <w:sz w:val="20"/>
          <w:szCs w:val="20"/>
        </w:rPr>
        <w:t>.</w:t>
      </w:r>
    </w:p>
    <w:sectPr w:rsidR="00D81155" w:rsidSect="00D80444">
      <w:type w:val="continuous"/>
      <w:pgSz w:w="11520" w:h="15479"/>
      <w:pgMar w:top="1440" w:right="1314" w:bottom="1440" w:left="1134" w:header="708" w:footer="708" w:gutter="0"/>
      <w:cols w:space="4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155"/>
    <w:rsid w:val="00220F1F"/>
    <w:rsid w:val="007725CB"/>
    <w:rsid w:val="00864D87"/>
    <w:rsid w:val="00D42230"/>
    <w:rsid w:val="00D80444"/>
    <w:rsid w:val="00D81155"/>
    <w:rsid w:val="00F302EF"/>
    <w:rsid w:val="00F93F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4C85C"/>
  <w15:docId w15:val="{F0879BB2-22E0-4B63-BA67-72F945DA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6" w:line="268" w:lineRule="auto"/>
      <w:ind w:left="10" w:hanging="10"/>
      <w:jc w:val="both"/>
    </w:pPr>
    <w:rPr>
      <w:rFonts w:ascii="Times New Roman" w:eastAsia="Times New Roman" w:hAnsi="Times New Roman" w:cs="Times New Roman"/>
      <w:color w:val="000000"/>
      <w:sz w:val="1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774</Words>
  <Characters>4569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FN Olomouc</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Vyroubalová Eva</dc:creator>
  <cp:keywords/>
  <cp:lastModifiedBy>Vyroubalová Eva</cp:lastModifiedBy>
  <cp:revision>8</cp:revision>
  <dcterms:created xsi:type="dcterms:W3CDTF">2024-11-06T09:53:00Z</dcterms:created>
  <dcterms:modified xsi:type="dcterms:W3CDTF">2024-11-11T12:08:00Z</dcterms:modified>
</cp:coreProperties>
</file>