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308" w:rsidRDefault="00912308">
      <w:pPr>
        <w:spacing w:after="97" w:line="259" w:lineRule="auto"/>
        <w:ind w:left="0" w:right="0" w:firstLine="0"/>
        <w:jc w:val="left"/>
      </w:pPr>
    </w:p>
    <w:p w:rsidR="00912308" w:rsidRPr="006A1F2F" w:rsidRDefault="006B466C" w:rsidP="008464EA">
      <w:pPr>
        <w:spacing w:after="0" w:line="360" w:lineRule="auto"/>
        <w:ind w:left="-15" w:right="0" w:firstLine="0"/>
        <w:jc w:val="left"/>
        <w:rPr>
          <w:rFonts w:eastAsia="Calibri"/>
          <w:b/>
          <w:sz w:val="24"/>
          <w:szCs w:val="24"/>
          <w:lang w:val="en-IE"/>
        </w:rPr>
      </w:pPr>
      <w:proofErr w:type="spellStart"/>
      <w:r w:rsidRPr="006A1F2F">
        <w:rPr>
          <w:rFonts w:eastAsia="Calibri"/>
          <w:b/>
          <w:sz w:val="24"/>
          <w:szCs w:val="24"/>
          <w:lang w:val="en-IE"/>
        </w:rPr>
        <w:t>Hypofractionated</w:t>
      </w:r>
      <w:proofErr w:type="spellEnd"/>
      <w:r w:rsidRPr="006A1F2F">
        <w:rPr>
          <w:rFonts w:eastAsia="Calibri"/>
          <w:b/>
          <w:sz w:val="24"/>
          <w:szCs w:val="24"/>
          <w:lang w:val="en-IE"/>
        </w:rPr>
        <w:t xml:space="preserve"> Whole-Breast Irradiation with</w:t>
      </w:r>
      <w:r w:rsidR="006A1F2F" w:rsidRPr="006A1F2F">
        <w:rPr>
          <w:b/>
          <w:sz w:val="24"/>
          <w:szCs w:val="24"/>
          <w:lang w:val="en-IE"/>
        </w:rPr>
        <w:t xml:space="preserve"> </w:t>
      </w:r>
      <w:r w:rsidRPr="006A1F2F">
        <w:rPr>
          <w:rFonts w:eastAsia="Calibri"/>
          <w:b/>
          <w:sz w:val="24"/>
          <w:szCs w:val="24"/>
          <w:lang w:val="en-IE"/>
        </w:rPr>
        <w:t>Simultaneous Integrated Boost for Breast Cancer: Primary</w:t>
      </w:r>
      <w:r w:rsidR="006A1F2F" w:rsidRPr="006A1F2F">
        <w:rPr>
          <w:b/>
          <w:sz w:val="24"/>
          <w:szCs w:val="24"/>
          <w:lang w:val="en-IE"/>
        </w:rPr>
        <w:t xml:space="preserve"> </w:t>
      </w:r>
      <w:r w:rsidRPr="006A1F2F">
        <w:rPr>
          <w:rFonts w:eastAsia="Calibri"/>
          <w:b/>
          <w:sz w:val="24"/>
          <w:szCs w:val="24"/>
          <w:lang w:val="en-IE"/>
        </w:rPr>
        <w:t>Analysis of the HYPOSIB-Trial (ARO 2013-05)</w:t>
      </w:r>
    </w:p>
    <w:p w:rsidR="006A1F2F" w:rsidRPr="006A1F2F" w:rsidRDefault="006A1F2F" w:rsidP="008464EA">
      <w:pPr>
        <w:spacing w:after="0" w:line="360" w:lineRule="auto"/>
        <w:ind w:left="-5" w:right="0"/>
        <w:jc w:val="left"/>
        <w:rPr>
          <w:b/>
          <w:sz w:val="24"/>
          <w:szCs w:val="24"/>
          <w:lang w:val="en-IE"/>
        </w:rPr>
      </w:pPr>
    </w:p>
    <w:p w:rsidR="006A1F2F" w:rsidRDefault="006B466C" w:rsidP="008464EA">
      <w:pPr>
        <w:spacing w:after="38" w:line="360" w:lineRule="auto"/>
        <w:ind w:left="-5" w:right="0"/>
        <w:jc w:val="left"/>
        <w:rPr>
          <w:sz w:val="20"/>
          <w:szCs w:val="20"/>
          <w:lang w:val="de-DE"/>
        </w:rPr>
      </w:pPr>
      <w:r w:rsidRPr="008464EA">
        <w:rPr>
          <w:sz w:val="20"/>
          <w:szCs w:val="20"/>
          <w:lang w:val="de-DE"/>
        </w:rPr>
        <w:t>D. Krug,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1 </w:t>
      </w:r>
      <w:r w:rsidRPr="008464EA">
        <w:rPr>
          <w:sz w:val="20"/>
          <w:szCs w:val="20"/>
          <w:lang w:val="de-DE"/>
        </w:rPr>
        <w:t>K. Dellas,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2 </w:t>
      </w:r>
      <w:r w:rsidRPr="008464EA">
        <w:rPr>
          <w:sz w:val="20"/>
          <w:szCs w:val="20"/>
          <w:lang w:val="de-DE"/>
        </w:rPr>
        <w:t>A. Schreiber,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3 </w:t>
      </w:r>
      <w:r w:rsidRPr="008464EA">
        <w:rPr>
          <w:sz w:val="20"/>
          <w:szCs w:val="20"/>
          <w:lang w:val="de-DE"/>
        </w:rPr>
        <w:t>A.D. Boicev,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4 </w:t>
      </w:r>
      <w:r w:rsidRPr="008464EA">
        <w:rPr>
          <w:sz w:val="20"/>
          <w:szCs w:val="20"/>
          <w:lang w:val="de-DE"/>
        </w:rPr>
        <w:t>J. Zimmer,</w:t>
      </w:r>
      <w:r w:rsidRPr="008464EA">
        <w:rPr>
          <w:color w:val="0080AB"/>
          <w:sz w:val="20"/>
          <w:szCs w:val="20"/>
          <w:vertAlign w:val="superscript"/>
          <w:lang w:val="de-DE"/>
        </w:rPr>
        <w:t>3</w:t>
      </w:r>
      <w:r w:rsidR="006A1F2F" w:rsidRPr="008464EA">
        <w:rPr>
          <w:sz w:val="20"/>
          <w:szCs w:val="20"/>
          <w:lang w:val="de-DE"/>
        </w:rPr>
        <w:t xml:space="preserve"> </w:t>
      </w:r>
      <w:r w:rsidRPr="008464EA">
        <w:rPr>
          <w:sz w:val="20"/>
          <w:szCs w:val="20"/>
          <w:lang w:val="de-DE"/>
        </w:rPr>
        <w:t>D. Uhlemann,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4 </w:t>
      </w:r>
      <w:r w:rsidRPr="008464EA">
        <w:rPr>
          <w:sz w:val="20"/>
          <w:szCs w:val="20"/>
          <w:lang w:val="de-DE"/>
        </w:rPr>
        <w:t>R. Laubach,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5 </w:t>
      </w:r>
      <w:r w:rsidRPr="008464EA">
        <w:rPr>
          <w:sz w:val="20"/>
          <w:szCs w:val="20"/>
          <w:lang w:val="de-DE"/>
        </w:rPr>
        <w:t>N. Weidner,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6 </w:t>
      </w:r>
      <w:r w:rsidRPr="008464EA">
        <w:rPr>
          <w:sz w:val="20"/>
          <w:szCs w:val="20"/>
          <w:lang w:val="de-DE"/>
        </w:rPr>
        <w:t>S. Dinges,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7 </w:t>
      </w:r>
      <w:r w:rsidRPr="008464EA">
        <w:rPr>
          <w:sz w:val="20"/>
          <w:szCs w:val="20"/>
          <w:lang w:val="de-DE"/>
        </w:rPr>
        <w:t>M. Hipp,</w:t>
      </w:r>
      <w:r w:rsidRPr="008464EA">
        <w:rPr>
          <w:color w:val="0080AB"/>
          <w:sz w:val="20"/>
          <w:szCs w:val="20"/>
          <w:vertAlign w:val="superscript"/>
          <w:lang w:val="de-DE"/>
        </w:rPr>
        <w:t>8</w:t>
      </w:r>
      <w:r w:rsidR="00B657A6" w:rsidRPr="008464EA">
        <w:rPr>
          <w:color w:val="0080AB"/>
          <w:sz w:val="20"/>
          <w:szCs w:val="20"/>
          <w:vertAlign w:val="superscript"/>
          <w:lang w:val="de-DE"/>
        </w:rPr>
        <w:t xml:space="preserve">  </w:t>
      </w:r>
      <w:r w:rsidRPr="008464EA">
        <w:rPr>
          <w:sz w:val="20"/>
          <w:szCs w:val="20"/>
          <w:lang w:val="de-DE"/>
        </w:rPr>
        <w:t>M.N. Duma,</w:t>
      </w:r>
      <w:r w:rsidRPr="008464EA">
        <w:rPr>
          <w:color w:val="0080AB"/>
          <w:sz w:val="20"/>
          <w:szCs w:val="20"/>
          <w:vertAlign w:val="superscript"/>
          <w:lang w:val="de-DE"/>
        </w:rPr>
        <w:t>9</w:t>
      </w:r>
      <w:r w:rsidRPr="008464EA">
        <w:rPr>
          <w:sz w:val="20"/>
          <w:szCs w:val="20"/>
          <w:vertAlign w:val="superscript"/>
          <w:lang w:val="de-DE"/>
        </w:rPr>
        <w:t>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10 </w:t>
      </w:r>
      <w:r w:rsidRPr="008464EA">
        <w:rPr>
          <w:sz w:val="20"/>
          <w:szCs w:val="20"/>
          <w:lang w:val="de-DE"/>
        </w:rPr>
        <w:t>E. Weinstrauch,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11 </w:t>
      </w:r>
      <w:r w:rsidRPr="008464EA">
        <w:rPr>
          <w:sz w:val="20"/>
          <w:szCs w:val="20"/>
          <w:lang w:val="de-DE"/>
        </w:rPr>
        <w:t>T. Martin,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12 </w:t>
      </w:r>
      <w:r w:rsidRPr="008464EA">
        <w:rPr>
          <w:sz w:val="20"/>
          <w:szCs w:val="20"/>
          <w:lang w:val="de-DE"/>
        </w:rPr>
        <w:t>J. Hoerner-Rieber,</w:t>
      </w:r>
      <w:r w:rsidRPr="008464EA">
        <w:rPr>
          <w:color w:val="0080AB"/>
          <w:sz w:val="20"/>
          <w:szCs w:val="20"/>
          <w:vertAlign w:val="superscript"/>
          <w:lang w:val="de-DE"/>
        </w:rPr>
        <w:t>13</w:t>
      </w:r>
      <w:r w:rsidR="006A1F2F" w:rsidRPr="008464EA">
        <w:rPr>
          <w:sz w:val="20"/>
          <w:szCs w:val="20"/>
          <w:lang w:val="de-DE"/>
        </w:rPr>
        <w:t xml:space="preserve"> </w:t>
      </w:r>
      <w:r w:rsidRPr="008464EA">
        <w:rPr>
          <w:sz w:val="20"/>
          <w:szCs w:val="20"/>
          <w:lang w:val="de-DE"/>
        </w:rPr>
        <w:t>D. Olbrich,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14 </w:t>
      </w:r>
      <w:r w:rsidRPr="008464EA">
        <w:rPr>
          <w:sz w:val="20"/>
          <w:szCs w:val="20"/>
          <w:lang w:val="de-DE"/>
        </w:rPr>
        <w:t>A. Droste,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15 </w:t>
      </w:r>
      <w:r w:rsidRPr="008464EA">
        <w:rPr>
          <w:sz w:val="20"/>
          <w:szCs w:val="20"/>
          <w:lang w:val="de-DE"/>
        </w:rPr>
        <w:t>H. Grube,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16 </w:t>
      </w:r>
      <w:r w:rsidRPr="008464EA">
        <w:rPr>
          <w:sz w:val="20"/>
          <w:szCs w:val="20"/>
          <w:lang w:val="de-DE"/>
        </w:rPr>
        <w:t>N. HeBler,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16 </w:t>
      </w:r>
      <w:r w:rsidRPr="008464EA">
        <w:rPr>
          <w:sz w:val="20"/>
          <w:szCs w:val="20"/>
          <w:lang w:val="de-DE"/>
        </w:rPr>
        <w:t>R. Vonthein,</w:t>
      </w:r>
      <w:r w:rsidRPr="008464EA">
        <w:rPr>
          <w:color w:val="0080AB"/>
          <w:sz w:val="20"/>
          <w:szCs w:val="20"/>
          <w:vertAlign w:val="superscript"/>
          <w:lang w:val="de-DE"/>
        </w:rPr>
        <w:t xml:space="preserve">16 </w:t>
      </w:r>
      <w:r w:rsidRPr="008464EA">
        <w:rPr>
          <w:sz w:val="20"/>
          <w:szCs w:val="20"/>
          <w:lang w:val="de-DE"/>
        </w:rPr>
        <w:t>and</w:t>
      </w:r>
      <w:r w:rsidR="006A1F2F" w:rsidRPr="008464EA">
        <w:rPr>
          <w:sz w:val="20"/>
          <w:szCs w:val="20"/>
          <w:lang w:val="de-DE"/>
        </w:rPr>
        <w:t xml:space="preserve"> </w:t>
      </w:r>
      <w:r w:rsidRPr="008464EA">
        <w:rPr>
          <w:sz w:val="20"/>
          <w:szCs w:val="20"/>
          <w:lang w:val="de-DE"/>
        </w:rPr>
        <w:t>J. Dunst</w:t>
      </w:r>
      <w:r w:rsidRPr="008464EA">
        <w:rPr>
          <w:color w:val="0080AB"/>
          <w:sz w:val="20"/>
          <w:szCs w:val="20"/>
          <w:vertAlign w:val="superscript"/>
          <w:lang w:val="de-DE"/>
        </w:rPr>
        <w:t>1</w:t>
      </w:r>
      <w:r w:rsidRPr="008464EA">
        <w:rPr>
          <w:sz w:val="20"/>
          <w:szCs w:val="20"/>
          <w:lang w:val="de-DE"/>
        </w:rPr>
        <w:t>;</w:t>
      </w:r>
    </w:p>
    <w:p w:rsidR="008464EA" w:rsidRPr="008464EA" w:rsidRDefault="008464EA" w:rsidP="008464EA">
      <w:pPr>
        <w:spacing w:after="38" w:line="360" w:lineRule="auto"/>
        <w:ind w:left="-5" w:right="0"/>
        <w:jc w:val="left"/>
        <w:rPr>
          <w:szCs w:val="16"/>
          <w:lang w:val="de-DE"/>
        </w:rPr>
      </w:pPr>
    </w:p>
    <w:p w:rsidR="00912308" w:rsidRPr="00B657A6" w:rsidRDefault="006B466C" w:rsidP="008464EA">
      <w:pPr>
        <w:spacing w:after="81" w:line="360" w:lineRule="auto"/>
        <w:ind w:left="0" w:right="8"/>
        <w:jc w:val="left"/>
        <w:rPr>
          <w:rFonts w:eastAsia="Calibri"/>
          <w:i/>
          <w:sz w:val="20"/>
          <w:szCs w:val="20"/>
          <w:lang w:val="de-DE"/>
        </w:rPr>
      </w:pPr>
      <w:r w:rsidRPr="00B657A6">
        <w:rPr>
          <w:i/>
          <w:sz w:val="20"/>
          <w:szCs w:val="20"/>
          <w:vertAlign w:val="superscript"/>
          <w:lang w:val="de-DE"/>
        </w:rPr>
        <w:t>1</w:t>
      </w:r>
      <w:r w:rsidRPr="00B657A6">
        <w:rPr>
          <w:i/>
          <w:sz w:val="20"/>
          <w:szCs w:val="20"/>
          <w:lang w:val="de-DE"/>
        </w:rPr>
        <w:t>Universit</w:t>
      </w:r>
      <w:r w:rsidR="00365C6A" w:rsidRPr="00365C6A">
        <w:rPr>
          <w:bCs/>
          <w:i/>
          <w:sz w:val="20"/>
          <w:szCs w:val="20"/>
          <w:shd w:val="clear" w:color="auto" w:fill="F2F2F2"/>
        </w:rPr>
        <w:t>ä</w:t>
      </w:r>
      <w:proofErr w:type="spellStart"/>
      <w:r w:rsidRPr="00B657A6">
        <w:rPr>
          <w:i/>
          <w:sz w:val="20"/>
          <w:szCs w:val="20"/>
          <w:lang w:val="de-DE"/>
        </w:rPr>
        <w:t>tsklinikum</w:t>
      </w:r>
      <w:proofErr w:type="spellEnd"/>
      <w:r w:rsidRPr="00B657A6">
        <w:rPr>
          <w:i/>
          <w:sz w:val="20"/>
          <w:szCs w:val="20"/>
          <w:lang w:val="de-DE"/>
        </w:rPr>
        <w:t xml:space="preserve"> Schleswig-Holstein, Campus Kiel, Klinik f</w:t>
      </w:r>
      <w:r w:rsidR="00365C6A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</w:t>
      </w:r>
      <w:r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lang w:val="de-DE"/>
        </w:rPr>
        <w:t xml:space="preserve">Strahlentherapie, Kiel, Germany, </w:t>
      </w:r>
      <w:r w:rsidRPr="00B657A6">
        <w:rPr>
          <w:i/>
          <w:sz w:val="20"/>
          <w:szCs w:val="20"/>
          <w:vertAlign w:val="superscript"/>
          <w:lang w:val="de-DE"/>
        </w:rPr>
        <w:t>2</w:t>
      </w:r>
      <w:r w:rsidRPr="00B657A6">
        <w:rPr>
          <w:i/>
          <w:sz w:val="20"/>
          <w:szCs w:val="20"/>
          <w:lang w:val="de-DE"/>
        </w:rPr>
        <w:t xml:space="preserve">Department </w:t>
      </w:r>
      <w:proofErr w:type="spellStart"/>
      <w:r w:rsidRPr="00B657A6">
        <w:rPr>
          <w:i/>
          <w:sz w:val="20"/>
          <w:szCs w:val="20"/>
          <w:lang w:val="de-DE"/>
        </w:rPr>
        <w:t>of</w:t>
      </w:r>
      <w:proofErr w:type="spellEnd"/>
      <w:r w:rsidRPr="00B657A6">
        <w:rPr>
          <w:i/>
          <w:sz w:val="20"/>
          <w:szCs w:val="20"/>
          <w:lang w:val="de-DE"/>
        </w:rPr>
        <w:t xml:space="preserve"> Radiation </w:t>
      </w:r>
      <w:proofErr w:type="spellStart"/>
      <w:r w:rsidRPr="00B657A6">
        <w:rPr>
          <w:i/>
          <w:sz w:val="20"/>
          <w:szCs w:val="20"/>
          <w:lang w:val="de-DE"/>
        </w:rPr>
        <w:t>Oncology</w:t>
      </w:r>
      <w:proofErr w:type="spellEnd"/>
      <w:r w:rsidRPr="00B657A6">
        <w:rPr>
          <w:i/>
          <w:sz w:val="20"/>
          <w:szCs w:val="20"/>
          <w:lang w:val="de-DE"/>
        </w:rPr>
        <w:t xml:space="preserve">, University Hospital Schleswig Holstein, Kiel, Germany, </w:t>
      </w:r>
      <w:r w:rsidRPr="00B657A6">
        <w:rPr>
          <w:i/>
          <w:sz w:val="20"/>
          <w:szCs w:val="20"/>
          <w:vertAlign w:val="superscript"/>
          <w:lang w:val="de-DE"/>
        </w:rPr>
        <w:t>3</w:t>
      </w:r>
      <w:r w:rsidRPr="00B657A6">
        <w:rPr>
          <w:i/>
          <w:sz w:val="20"/>
          <w:szCs w:val="20"/>
          <w:lang w:val="de-DE"/>
        </w:rPr>
        <w:t xml:space="preserve">Radiotherapie Dresden MVZ GmbH, Dresden, Germany, </w:t>
      </w:r>
      <w:r w:rsidRPr="00B657A6">
        <w:rPr>
          <w:i/>
          <w:sz w:val="20"/>
          <w:szCs w:val="20"/>
          <w:vertAlign w:val="superscript"/>
          <w:lang w:val="de-DE"/>
        </w:rPr>
        <w:t>4</w:t>
      </w:r>
      <w:r w:rsidRPr="00B657A6">
        <w:rPr>
          <w:i/>
          <w:sz w:val="20"/>
          <w:szCs w:val="20"/>
          <w:lang w:val="de-DE"/>
        </w:rPr>
        <w:t>Heinrich-Braun-Klinikum Zwickau, Klinik f</w:t>
      </w:r>
      <w:r w:rsidR="00365C6A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 Strahlentherapie und Radioonkologie, Zwickau, Germany,</w:t>
      </w:r>
      <w:r w:rsidR="00BE24C8"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vertAlign w:val="superscript"/>
          <w:lang w:val="de-DE"/>
        </w:rPr>
        <w:t>5</w:t>
      </w:r>
      <w:r w:rsidRPr="00B657A6">
        <w:rPr>
          <w:i/>
          <w:sz w:val="20"/>
          <w:szCs w:val="20"/>
          <w:lang w:val="de-DE"/>
        </w:rPr>
        <w:t>St. Marien-Krankenhaus Siegen, Klinik f</w:t>
      </w:r>
      <w:r w:rsidR="00365C6A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 Radio-Onkologie, Siegen, Germany,</w:t>
      </w:r>
      <w:r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vertAlign w:val="superscript"/>
          <w:lang w:val="de-DE"/>
        </w:rPr>
        <w:t>6</w:t>
      </w:r>
      <w:r w:rsidRPr="00B657A6">
        <w:rPr>
          <w:i/>
          <w:sz w:val="20"/>
          <w:szCs w:val="20"/>
          <w:lang w:val="de-DE"/>
        </w:rPr>
        <w:t xml:space="preserve"> Department </w:t>
      </w:r>
      <w:proofErr w:type="spellStart"/>
      <w:r w:rsidRPr="00B657A6">
        <w:rPr>
          <w:i/>
          <w:sz w:val="20"/>
          <w:szCs w:val="20"/>
          <w:lang w:val="de-DE"/>
        </w:rPr>
        <w:t>of</w:t>
      </w:r>
      <w:proofErr w:type="spellEnd"/>
      <w:r w:rsidRPr="00B657A6">
        <w:rPr>
          <w:i/>
          <w:sz w:val="20"/>
          <w:szCs w:val="20"/>
          <w:lang w:val="de-DE"/>
        </w:rPr>
        <w:t xml:space="preserve"> Radiation </w:t>
      </w:r>
      <w:proofErr w:type="spellStart"/>
      <w:r w:rsidRPr="00B657A6">
        <w:rPr>
          <w:i/>
          <w:sz w:val="20"/>
          <w:szCs w:val="20"/>
          <w:lang w:val="de-DE"/>
        </w:rPr>
        <w:t>Oncology</w:t>
      </w:r>
      <w:proofErr w:type="spellEnd"/>
      <w:r w:rsidRPr="00B657A6">
        <w:rPr>
          <w:i/>
          <w:sz w:val="20"/>
          <w:szCs w:val="20"/>
          <w:lang w:val="de-DE"/>
        </w:rPr>
        <w:t xml:space="preserve">, Eberhard-Karls-University </w:t>
      </w:r>
      <w:proofErr w:type="spellStart"/>
      <w:r w:rsidRPr="00B657A6">
        <w:rPr>
          <w:i/>
          <w:sz w:val="20"/>
          <w:szCs w:val="20"/>
          <w:lang w:val="de-DE"/>
        </w:rPr>
        <w:t>Tuebingen,Tuebingen</w:t>
      </w:r>
      <w:proofErr w:type="spellEnd"/>
      <w:r w:rsidRPr="00B657A6">
        <w:rPr>
          <w:i/>
          <w:sz w:val="20"/>
          <w:szCs w:val="20"/>
          <w:lang w:val="de-DE"/>
        </w:rPr>
        <w:t xml:space="preserve">, Germany, </w:t>
      </w:r>
      <w:r w:rsidRPr="00B657A6">
        <w:rPr>
          <w:i/>
          <w:sz w:val="20"/>
          <w:szCs w:val="20"/>
          <w:vertAlign w:val="superscript"/>
          <w:lang w:val="de-DE"/>
        </w:rPr>
        <w:t>7</w:t>
      </w:r>
      <w:r w:rsidRPr="00B657A6">
        <w:rPr>
          <w:i/>
          <w:sz w:val="20"/>
          <w:szCs w:val="20"/>
          <w:lang w:val="de-DE"/>
        </w:rPr>
        <w:t>Klinikum L</w:t>
      </w:r>
      <w:r w:rsidR="00365C6A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neburg, Klinik f</w:t>
      </w:r>
      <w:r w:rsidR="008C1B41">
        <w:rPr>
          <w:rFonts w:eastAsia="Calibri"/>
          <w:i/>
          <w:sz w:val="20"/>
          <w:szCs w:val="20"/>
          <w:lang w:val="de-DE"/>
        </w:rPr>
        <w:t>ü</w:t>
      </w:r>
      <w:r w:rsidR="00BE24C8" w:rsidRPr="00B657A6">
        <w:rPr>
          <w:rFonts w:eastAsia="Calibri"/>
          <w:i/>
          <w:sz w:val="20"/>
          <w:szCs w:val="20"/>
          <w:lang w:val="de-DE"/>
        </w:rPr>
        <w:t xml:space="preserve">r </w:t>
      </w:r>
      <w:r w:rsidRPr="00B657A6">
        <w:rPr>
          <w:i/>
          <w:sz w:val="20"/>
          <w:szCs w:val="20"/>
          <w:lang w:val="de-DE"/>
        </w:rPr>
        <w:t>Strahlentherapie &amp;</w:t>
      </w:r>
      <w:r w:rsidR="00BE24C8"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lang w:val="de-DE"/>
        </w:rPr>
        <w:t>Radioonkologie, L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neburg, Germany,</w:t>
      </w:r>
      <w:r w:rsidR="006A1F2F"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vertAlign w:val="superscript"/>
          <w:lang w:val="de-DE"/>
        </w:rPr>
        <w:t>8</w:t>
      </w:r>
      <w:r w:rsidRPr="00B657A6">
        <w:rPr>
          <w:i/>
          <w:sz w:val="20"/>
          <w:szCs w:val="20"/>
          <w:lang w:val="de-DE"/>
        </w:rPr>
        <w:t>Klinikum/MVZ St. Marien Amberg, Klinik/Praxis f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 Strahlentherapie, Amberg, Germany,</w:t>
      </w:r>
      <w:r w:rsidR="006A1F2F"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vertAlign w:val="superscript"/>
          <w:lang w:val="de-DE"/>
        </w:rPr>
        <w:t>9</w:t>
      </w:r>
      <w:r w:rsidRPr="00B657A6">
        <w:rPr>
          <w:i/>
          <w:sz w:val="20"/>
          <w:szCs w:val="20"/>
          <w:lang w:val="de-DE"/>
        </w:rPr>
        <w:t>Helios-Kliniken</w:t>
      </w:r>
      <w:r w:rsidR="00BE24C8" w:rsidRPr="00B657A6">
        <w:rPr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lang w:val="de-DE"/>
        </w:rPr>
        <w:t>Schwerin, Klinik f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 Strahlentherapie, Schwerin, Germany,</w:t>
      </w:r>
      <w:r w:rsidR="00BE24C8"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vertAlign w:val="superscript"/>
          <w:lang w:val="de-DE"/>
        </w:rPr>
        <w:t>10</w:t>
      </w:r>
      <w:r w:rsidRPr="00B657A6">
        <w:rPr>
          <w:i/>
          <w:sz w:val="20"/>
          <w:szCs w:val="20"/>
          <w:lang w:val="de-DE"/>
        </w:rPr>
        <w:t xml:space="preserve">MSH Medical School Hamburg, Hamburg, Germany, </w:t>
      </w:r>
      <w:r w:rsidRPr="00B657A6">
        <w:rPr>
          <w:i/>
          <w:sz w:val="20"/>
          <w:szCs w:val="20"/>
          <w:vertAlign w:val="superscript"/>
          <w:lang w:val="de-DE"/>
        </w:rPr>
        <w:t>11</w:t>
      </w:r>
      <w:r w:rsidRPr="00B657A6">
        <w:rPr>
          <w:i/>
          <w:sz w:val="20"/>
          <w:szCs w:val="20"/>
          <w:lang w:val="de-DE"/>
        </w:rPr>
        <w:t>Johanniter-Zentren f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 Medizinische Versorgung Stendal, Praxis f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 Radioonkologie, Stendal, Germany,</w:t>
      </w:r>
      <w:r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vertAlign w:val="superscript"/>
          <w:lang w:val="de-DE"/>
        </w:rPr>
        <w:t>12</w:t>
      </w:r>
      <w:r w:rsidRPr="00B657A6">
        <w:rPr>
          <w:i/>
          <w:sz w:val="20"/>
          <w:szCs w:val="20"/>
          <w:lang w:val="de-DE"/>
        </w:rPr>
        <w:t xml:space="preserve"> Zentrum f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 Strahlentherapie und Radioonkologie, Bremen, Germany,</w:t>
      </w:r>
      <w:r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vertAlign w:val="superscript"/>
          <w:lang w:val="de-DE"/>
        </w:rPr>
        <w:t>13</w:t>
      </w:r>
      <w:r w:rsidRPr="00B657A6">
        <w:rPr>
          <w:i/>
          <w:sz w:val="20"/>
          <w:szCs w:val="20"/>
          <w:lang w:val="de-DE"/>
        </w:rPr>
        <w:t xml:space="preserve"> </w:t>
      </w:r>
      <w:proofErr w:type="spellStart"/>
      <w:r w:rsidR="008C1B41">
        <w:rPr>
          <w:i/>
          <w:sz w:val="20"/>
          <w:szCs w:val="20"/>
          <w:lang w:val="de-DE"/>
        </w:rPr>
        <w:t>U</w:t>
      </w:r>
      <w:r w:rsidRPr="00B657A6">
        <w:rPr>
          <w:i/>
          <w:sz w:val="20"/>
          <w:szCs w:val="20"/>
          <w:lang w:val="de-DE"/>
        </w:rPr>
        <w:t>niversit</w:t>
      </w:r>
      <w:r w:rsidR="008C1B41">
        <w:rPr>
          <w:rFonts w:eastAsia="Calibri"/>
          <w:i/>
          <w:sz w:val="20"/>
          <w:szCs w:val="20"/>
          <w:lang w:val="de-DE"/>
        </w:rPr>
        <w:t>ä</w:t>
      </w:r>
      <w:r w:rsidRPr="00B657A6">
        <w:rPr>
          <w:i/>
          <w:sz w:val="20"/>
          <w:szCs w:val="20"/>
          <w:lang w:val="de-DE"/>
        </w:rPr>
        <w:t>tsKlinikum</w:t>
      </w:r>
      <w:proofErr w:type="spellEnd"/>
      <w:r w:rsidRPr="00B657A6">
        <w:rPr>
          <w:i/>
          <w:sz w:val="20"/>
          <w:szCs w:val="20"/>
          <w:lang w:val="de-DE"/>
        </w:rPr>
        <w:t xml:space="preserve"> Heidelberg, </w:t>
      </w:r>
      <w:proofErr w:type="spellStart"/>
      <w:r w:rsidRPr="00B657A6">
        <w:rPr>
          <w:i/>
          <w:sz w:val="20"/>
          <w:szCs w:val="20"/>
          <w:lang w:val="de-DE"/>
        </w:rPr>
        <w:t>RadioOnkologie</w:t>
      </w:r>
      <w:proofErr w:type="spellEnd"/>
      <w:r w:rsidRPr="00B657A6">
        <w:rPr>
          <w:i/>
          <w:sz w:val="20"/>
          <w:szCs w:val="20"/>
          <w:lang w:val="de-DE"/>
        </w:rPr>
        <w:t xml:space="preserve"> und Strahlentherapie, Heidelberg, Germany, </w:t>
      </w:r>
      <w:r w:rsidRPr="00B657A6">
        <w:rPr>
          <w:i/>
          <w:sz w:val="20"/>
          <w:szCs w:val="20"/>
          <w:vertAlign w:val="superscript"/>
          <w:lang w:val="de-DE"/>
        </w:rPr>
        <w:t>14</w:t>
      </w:r>
      <w:r w:rsidRPr="00B657A6">
        <w:rPr>
          <w:i/>
          <w:sz w:val="20"/>
          <w:szCs w:val="20"/>
          <w:lang w:val="de-DE"/>
        </w:rPr>
        <w:t>Universit</w:t>
      </w:r>
      <w:r w:rsidR="008C1B41">
        <w:rPr>
          <w:rFonts w:eastAsia="Calibri"/>
          <w:i/>
          <w:sz w:val="20"/>
          <w:szCs w:val="20"/>
          <w:lang w:val="de-DE"/>
        </w:rPr>
        <w:t>ä</w:t>
      </w:r>
      <w:r w:rsidRPr="00B657A6">
        <w:rPr>
          <w:i/>
          <w:sz w:val="20"/>
          <w:szCs w:val="20"/>
          <w:lang w:val="de-DE"/>
        </w:rPr>
        <w:t>t zu L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beck, ZKS L</w:t>
      </w:r>
      <w:r w:rsidR="008C1B41">
        <w:rPr>
          <w:rFonts w:eastAsia="Calibri"/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beck (Zentrum f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</w:t>
      </w:r>
      <w:r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lang w:val="de-DE"/>
        </w:rPr>
        <w:t>klinische Studien L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 xml:space="preserve">beck), </w:t>
      </w:r>
      <w:proofErr w:type="spellStart"/>
      <w:r w:rsidRPr="00B657A6">
        <w:rPr>
          <w:i/>
          <w:sz w:val="20"/>
          <w:szCs w:val="20"/>
          <w:lang w:val="de-DE"/>
        </w:rPr>
        <w:t>Luebeck</w:t>
      </w:r>
      <w:proofErr w:type="spellEnd"/>
      <w:r w:rsidRPr="00B657A6">
        <w:rPr>
          <w:i/>
          <w:sz w:val="20"/>
          <w:szCs w:val="20"/>
          <w:lang w:val="de-DE"/>
        </w:rPr>
        <w:t>, Germany,</w:t>
      </w:r>
      <w:r w:rsidR="006A1F2F"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vertAlign w:val="superscript"/>
          <w:lang w:val="de-DE"/>
        </w:rPr>
        <w:t>15</w:t>
      </w:r>
      <w:r w:rsidRPr="00B657A6">
        <w:rPr>
          <w:i/>
          <w:sz w:val="20"/>
          <w:szCs w:val="20"/>
          <w:lang w:val="de-DE"/>
        </w:rPr>
        <w:t>Universit</w:t>
      </w:r>
      <w:r w:rsidR="008C1B41">
        <w:rPr>
          <w:i/>
          <w:sz w:val="20"/>
          <w:szCs w:val="20"/>
          <w:lang w:val="de-DE"/>
        </w:rPr>
        <w:t>ä</w:t>
      </w:r>
      <w:r w:rsidRPr="00B657A6">
        <w:rPr>
          <w:i/>
          <w:sz w:val="20"/>
          <w:szCs w:val="20"/>
          <w:lang w:val="de-DE"/>
        </w:rPr>
        <w:t>t zu L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beck, ZKS</w:t>
      </w:r>
      <w:r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lang w:val="de-DE"/>
        </w:rPr>
        <w:t>L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beck (Zentrum f</w:t>
      </w:r>
      <w:r w:rsidR="008C1B41">
        <w:rPr>
          <w:rFonts w:eastAsia="Calibri"/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r klinische Studien L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beck), L</w:t>
      </w:r>
      <w:r w:rsidR="008C1B41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beck, Germany,</w:t>
      </w:r>
      <w:r w:rsidR="006A1F2F"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vertAlign w:val="superscript"/>
          <w:lang w:val="de-DE"/>
        </w:rPr>
        <w:t>16</w:t>
      </w:r>
      <w:r w:rsidRPr="00B657A6">
        <w:rPr>
          <w:i/>
          <w:sz w:val="20"/>
          <w:szCs w:val="20"/>
          <w:lang w:val="de-DE"/>
        </w:rPr>
        <w:t>Universit</w:t>
      </w:r>
      <w:r w:rsidR="00B95B57">
        <w:rPr>
          <w:rFonts w:eastAsia="Calibri"/>
          <w:i/>
          <w:sz w:val="20"/>
          <w:szCs w:val="20"/>
          <w:lang w:val="de-DE"/>
        </w:rPr>
        <w:t>ä</w:t>
      </w:r>
      <w:r w:rsidRPr="00B657A6">
        <w:rPr>
          <w:i/>
          <w:sz w:val="20"/>
          <w:szCs w:val="20"/>
          <w:lang w:val="de-DE"/>
        </w:rPr>
        <w:t>t zu L</w:t>
      </w:r>
      <w:r w:rsidR="00B95B57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beck, Universit</w:t>
      </w:r>
      <w:r w:rsidR="00B95B57">
        <w:rPr>
          <w:rFonts w:eastAsia="Calibri"/>
          <w:i/>
          <w:sz w:val="20"/>
          <w:szCs w:val="20"/>
          <w:lang w:val="de-DE"/>
        </w:rPr>
        <w:t>ä</w:t>
      </w:r>
      <w:r w:rsidRPr="00B657A6">
        <w:rPr>
          <w:i/>
          <w:sz w:val="20"/>
          <w:szCs w:val="20"/>
          <w:lang w:val="de-DE"/>
        </w:rPr>
        <w:t>tsklinikum Schleswig-Holstein, Institut f</w:t>
      </w:r>
      <w:r w:rsidR="00B95B57">
        <w:rPr>
          <w:i/>
          <w:sz w:val="20"/>
          <w:szCs w:val="20"/>
          <w:lang w:val="de-DE"/>
        </w:rPr>
        <w:t>ür</w:t>
      </w:r>
      <w:r w:rsidRPr="00B657A6">
        <w:rPr>
          <w:rFonts w:eastAsia="Calibri"/>
          <w:i/>
          <w:sz w:val="20"/>
          <w:szCs w:val="20"/>
          <w:lang w:val="de-DE"/>
        </w:rPr>
        <w:t xml:space="preserve"> </w:t>
      </w:r>
      <w:r w:rsidRPr="00B657A6">
        <w:rPr>
          <w:i/>
          <w:sz w:val="20"/>
          <w:szCs w:val="20"/>
          <w:lang w:val="de-DE"/>
        </w:rPr>
        <w:t>Medizinische Biometrie und Statistik, L</w:t>
      </w:r>
      <w:r w:rsidR="00B95B57">
        <w:rPr>
          <w:i/>
          <w:sz w:val="20"/>
          <w:szCs w:val="20"/>
          <w:lang w:val="de-DE"/>
        </w:rPr>
        <w:t>ü</w:t>
      </w:r>
      <w:r w:rsidRPr="00B657A6">
        <w:rPr>
          <w:i/>
          <w:sz w:val="20"/>
          <w:szCs w:val="20"/>
          <w:lang w:val="de-DE"/>
        </w:rPr>
        <w:t>beck, Germany</w:t>
      </w:r>
    </w:p>
    <w:p w:rsidR="003B008E" w:rsidRPr="008464EA" w:rsidRDefault="003B008E" w:rsidP="008464EA">
      <w:pPr>
        <w:spacing w:after="81" w:line="360" w:lineRule="auto"/>
        <w:ind w:left="51" w:right="8"/>
        <w:jc w:val="left"/>
        <w:rPr>
          <w:i/>
          <w:sz w:val="20"/>
          <w:szCs w:val="20"/>
          <w:lang w:val="de-DE"/>
        </w:rPr>
      </w:pPr>
    </w:p>
    <w:p w:rsidR="00912308" w:rsidRPr="006A1F2F" w:rsidRDefault="006B466C" w:rsidP="008464EA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r w:rsidRPr="006A1F2F">
        <w:rPr>
          <w:rFonts w:eastAsia="Calibri"/>
          <w:b/>
          <w:sz w:val="20"/>
          <w:szCs w:val="20"/>
          <w:lang w:val="en-IE"/>
        </w:rPr>
        <w:t>Purpose/Objective(s):</w:t>
      </w:r>
      <w:r w:rsidRPr="006A1F2F">
        <w:rPr>
          <w:rFonts w:eastAsia="Calibri"/>
          <w:sz w:val="20"/>
          <w:szCs w:val="20"/>
          <w:lang w:val="en-IE"/>
        </w:rPr>
        <w:t xml:space="preserve"> </w:t>
      </w:r>
      <w:r w:rsidRPr="006A1F2F">
        <w:rPr>
          <w:sz w:val="20"/>
          <w:szCs w:val="20"/>
          <w:lang w:val="en-IE"/>
        </w:rPr>
        <w:t xml:space="preserve">Moderate hypofractionation (HF) is considered standard of care for adjuvant whole-breast radiotherapy in patients with breast cancer after breast-conserving surgery (BCS). The trials establishing HF used a sequential </w:t>
      </w:r>
      <w:proofErr w:type="spellStart"/>
      <w:r w:rsidRPr="006A1F2F">
        <w:rPr>
          <w:sz w:val="20"/>
          <w:szCs w:val="20"/>
          <w:lang w:val="en-IE"/>
        </w:rPr>
        <w:t>tumor</w:t>
      </w:r>
      <w:proofErr w:type="spellEnd"/>
      <w:r w:rsidRPr="006A1F2F">
        <w:rPr>
          <w:sz w:val="20"/>
          <w:szCs w:val="20"/>
          <w:lang w:val="en-IE"/>
        </w:rPr>
        <w:t xml:space="preserve"> bed boost (</w:t>
      </w:r>
      <w:proofErr w:type="spellStart"/>
      <w:r w:rsidRPr="006A1F2F">
        <w:rPr>
          <w:sz w:val="20"/>
          <w:szCs w:val="20"/>
          <w:lang w:val="en-IE"/>
        </w:rPr>
        <w:t>seqB</w:t>
      </w:r>
      <w:proofErr w:type="spellEnd"/>
      <w:r w:rsidRPr="006A1F2F">
        <w:rPr>
          <w:sz w:val="20"/>
          <w:szCs w:val="20"/>
          <w:lang w:val="en-IE"/>
        </w:rPr>
        <w:t xml:space="preserve">). Prior studies have studied simultaneous integrated boost (SIB)-irradiation with conventional fractionation. The HYPOSIB-trial (NCT02474641) is one of three large trials that studied HF with SIB. Results for acute toxicity have been presented at a prior ASTRO-meeting and </w:t>
      </w:r>
      <w:proofErr w:type="spellStart"/>
      <w:r w:rsidRPr="006A1F2F">
        <w:rPr>
          <w:sz w:val="20"/>
          <w:szCs w:val="20"/>
          <w:lang w:val="en-IE"/>
        </w:rPr>
        <w:t>favored</w:t>
      </w:r>
      <w:proofErr w:type="spellEnd"/>
      <w:r w:rsidRPr="006A1F2F">
        <w:rPr>
          <w:sz w:val="20"/>
          <w:szCs w:val="20"/>
          <w:lang w:val="en-IE"/>
        </w:rPr>
        <w:t xml:space="preserve"> HF with SIB.</w:t>
      </w:r>
    </w:p>
    <w:p w:rsidR="008464EA" w:rsidRDefault="006B466C" w:rsidP="008464EA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r w:rsidRPr="006A1F2F">
        <w:rPr>
          <w:rFonts w:eastAsia="Calibri"/>
          <w:b/>
          <w:sz w:val="20"/>
          <w:szCs w:val="20"/>
          <w:lang w:val="en-IE"/>
        </w:rPr>
        <w:t>Materials/Methods:</w:t>
      </w:r>
      <w:r w:rsidRPr="006A1F2F">
        <w:rPr>
          <w:rFonts w:eastAsia="Calibri"/>
          <w:sz w:val="20"/>
          <w:szCs w:val="20"/>
          <w:lang w:val="en-IE"/>
        </w:rPr>
        <w:t xml:space="preserve"> </w:t>
      </w:r>
      <w:r w:rsidRPr="006A1F2F">
        <w:rPr>
          <w:sz w:val="20"/>
          <w:szCs w:val="20"/>
          <w:lang w:val="en-IE"/>
        </w:rPr>
        <w:t>HYPOSIB is a randomized-controlled, European, multi-</w:t>
      </w:r>
      <w:proofErr w:type="spellStart"/>
      <w:r w:rsidRPr="006A1F2F">
        <w:rPr>
          <w:sz w:val="20"/>
          <w:szCs w:val="20"/>
          <w:lang w:val="en-IE"/>
        </w:rPr>
        <w:t>center</w:t>
      </w:r>
      <w:proofErr w:type="spellEnd"/>
      <w:r w:rsidRPr="006A1F2F">
        <w:rPr>
          <w:sz w:val="20"/>
          <w:szCs w:val="20"/>
          <w:lang w:val="en-IE"/>
        </w:rPr>
        <w:t xml:space="preserve">, non-inferiority trial. Randomization was performed 1:1 to the experimental arm (40 </w:t>
      </w:r>
      <w:proofErr w:type="spellStart"/>
      <w:r w:rsidRPr="006A1F2F">
        <w:rPr>
          <w:sz w:val="20"/>
          <w:szCs w:val="20"/>
          <w:lang w:val="en-IE"/>
        </w:rPr>
        <w:t>Gy</w:t>
      </w:r>
      <w:proofErr w:type="spellEnd"/>
      <w:r w:rsidRPr="006A1F2F">
        <w:rPr>
          <w:sz w:val="20"/>
          <w:szCs w:val="20"/>
          <w:lang w:val="en-IE"/>
        </w:rPr>
        <w:t xml:space="preserve"> to the breast and 48 </w:t>
      </w:r>
      <w:proofErr w:type="spellStart"/>
      <w:r w:rsidRPr="006A1F2F">
        <w:rPr>
          <w:sz w:val="20"/>
          <w:szCs w:val="20"/>
          <w:lang w:val="en-IE"/>
        </w:rPr>
        <w:t>Gy</w:t>
      </w:r>
      <w:proofErr w:type="spellEnd"/>
      <w:r w:rsidRPr="006A1F2F">
        <w:rPr>
          <w:sz w:val="20"/>
          <w:szCs w:val="20"/>
          <w:lang w:val="en-IE"/>
        </w:rPr>
        <w:t xml:space="preserve"> to the </w:t>
      </w:r>
      <w:proofErr w:type="spellStart"/>
      <w:r w:rsidRPr="006A1F2F">
        <w:rPr>
          <w:sz w:val="20"/>
          <w:szCs w:val="20"/>
          <w:lang w:val="en-IE"/>
        </w:rPr>
        <w:t>tumor</w:t>
      </w:r>
      <w:proofErr w:type="spellEnd"/>
      <w:r w:rsidRPr="006A1F2F">
        <w:rPr>
          <w:sz w:val="20"/>
          <w:szCs w:val="20"/>
          <w:lang w:val="en-IE"/>
        </w:rPr>
        <w:t xml:space="preserve"> bed in 16 fractions) or to the control arm (physician</w:t>
      </w:r>
      <w:r w:rsidRPr="006A1F2F">
        <w:rPr>
          <w:rFonts w:eastAsia="Calibri"/>
          <w:sz w:val="20"/>
          <w:szCs w:val="20"/>
          <w:lang w:val="en-IE"/>
        </w:rPr>
        <w:t>’</w:t>
      </w:r>
      <w:r w:rsidRPr="006A1F2F">
        <w:rPr>
          <w:sz w:val="20"/>
          <w:szCs w:val="20"/>
          <w:lang w:val="en-IE"/>
        </w:rPr>
        <w:t xml:space="preserve">s choice between conventional fractionation with SIB or </w:t>
      </w:r>
      <w:proofErr w:type="spellStart"/>
      <w:r w:rsidRPr="006A1F2F">
        <w:rPr>
          <w:sz w:val="20"/>
          <w:szCs w:val="20"/>
          <w:lang w:val="en-IE"/>
        </w:rPr>
        <w:t>seqB</w:t>
      </w:r>
      <w:proofErr w:type="spellEnd"/>
      <w:r w:rsidRPr="006A1F2F">
        <w:rPr>
          <w:sz w:val="20"/>
          <w:szCs w:val="20"/>
          <w:lang w:val="en-IE"/>
        </w:rPr>
        <w:t xml:space="preserve">, or HF with </w:t>
      </w:r>
      <w:proofErr w:type="spellStart"/>
      <w:r w:rsidRPr="006A1F2F">
        <w:rPr>
          <w:sz w:val="20"/>
          <w:szCs w:val="20"/>
          <w:lang w:val="en-IE"/>
        </w:rPr>
        <w:t>seqB</w:t>
      </w:r>
      <w:proofErr w:type="spellEnd"/>
      <w:r w:rsidRPr="006A1F2F">
        <w:rPr>
          <w:sz w:val="20"/>
          <w:szCs w:val="20"/>
          <w:lang w:val="en-IE"/>
        </w:rPr>
        <w:t xml:space="preserve">). The primary endpoint was disease-free survival (DFS). At trial initiation, a DFS of 86.4% at 5 years was assumed in the control arm with a non-inferiority margin of 5% (hazard ratio [HR] = 1.42). After a blinded interim analysis showed fewer events than expected, the design was changed to a time-driven analysis 3 years after </w:t>
      </w:r>
      <w:proofErr w:type="spellStart"/>
      <w:r w:rsidRPr="006A1F2F">
        <w:rPr>
          <w:sz w:val="20"/>
          <w:szCs w:val="20"/>
          <w:lang w:val="en-IE"/>
        </w:rPr>
        <w:t>enrollment</w:t>
      </w:r>
      <w:proofErr w:type="spellEnd"/>
      <w:r w:rsidRPr="006A1F2F">
        <w:rPr>
          <w:sz w:val="20"/>
          <w:szCs w:val="20"/>
          <w:lang w:val="en-IE"/>
        </w:rPr>
        <w:t xml:space="preserve"> of the </w:t>
      </w:r>
      <w:r w:rsidRPr="006A1F2F">
        <w:rPr>
          <w:rFonts w:eastAsia="Calibri"/>
          <w:sz w:val="20"/>
          <w:szCs w:val="20"/>
          <w:lang w:val="en-IE"/>
        </w:rPr>
        <w:t>fi</w:t>
      </w:r>
      <w:r w:rsidRPr="006A1F2F">
        <w:rPr>
          <w:sz w:val="20"/>
          <w:szCs w:val="20"/>
          <w:lang w:val="en-IE"/>
        </w:rPr>
        <w:t>nal patient with an adapted non-inferiority boundary for the HR of 1.757. Secondary endpoints were local control, locoregional control, overall survival, toxicity, quality of life, and cosmesis.</w:t>
      </w:r>
    </w:p>
    <w:p w:rsidR="00C767FE" w:rsidRDefault="00C767FE" w:rsidP="008464EA">
      <w:pPr>
        <w:spacing w:line="360" w:lineRule="auto"/>
        <w:ind w:left="-5" w:right="0"/>
        <w:jc w:val="left"/>
        <w:rPr>
          <w:rFonts w:eastAsia="Calibri"/>
          <w:b/>
          <w:sz w:val="20"/>
          <w:szCs w:val="20"/>
          <w:lang w:val="en-IE"/>
        </w:rPr>
      </w:pPr>
    </w:p>
    <w:p w:rsidR="00C767FE" w:rsidRDefault="00C767FE" w:rsidP="008464EA">
      <w:pPr>
        <w:spacing w:line="360" w:lineRule="auto"/>
        <w:ind w:left="-5" w:right="0"/>
        <w:jc w:val="left"/>
        <w:rPr>
          <w:rFonts w:eastAsia="Calibri"/>
          <w:b/>
          <w:sz w:val="20"/>
          <w:szCs w:val="20"/>
          <w:lang w:val="en-IE"/>
        </w:rPr>
      </w:pPr>
    </w:p>
    <w:p w:rsidR="00C767FE" w:rsidRDefault="00C767FE" w:rsidP="008464EA">
      <w:pPr>
        <w:spacing w:line="360" w:lineRule="auto"/>
        <w:ind w:left="-5" w:right="0"/>
        <w:jc w:val="left"/>
        <w:rPr>
          <w:rFonts w:eastAsia="Calibri"/>
          <w:b/>
          <w:sz w:val="20"/>
          <w:szCs w:val="20"/>
          <w:lang w:val="en-IE"/>
        </w:rPr>
      </w:pPr>
    </w:p>
    <w:p w:rsidR="00912308" w:rsidRPr="006A1F2F" w:rsidRDefault="006B466C" w:rsidP="008464EA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bookmarkStart w:id="0" w:name="_GoBack"/>
      <w:bookmarkEnd w:id="0"/>
      <w:r w:rsidRPr="006A1F2F">
        <w:rPr>
          <w:rFonts w:eastAsia="Calibri"/>
          <w:b/>
          <w:sz w:val="20"/>
          <w:szCs w:val="20"/>
          <w:lang w:val="en-IE"/>
        </w:rPr>
        <w:t>Results:</w:t>
      </w:r>
      <w:r w:rsidRPr="006A1F2F">
        <w:rPr>
          <w:rFonts w:eastAsia="Calibri"/>
          <w:sz w:val="20"/>
          <w:szCs w:val="20"/>
          <w:lang w:val="en-IE"/>
        </w:rPr>
        <w:t xml:space="preserve"> </w:t>
      </w:r>
      <w:r w:rsidRPr="006A1F2F">
        <w:rPr>
          <w:sz w:val="20"/>
          <w:szCs w:val="20"/>
          <w:lang w:val="en-IE"/>
        </w:rPr>
        <w:t>Between 2015 and 2019, a total of 2310 patients were randomized, of which 2179 were treated according to protocol and were part of this analysis. Median follow-up was 52.9 months (range = 42.0-61.7 months). There were 141 patients who had at least one DFS-event, of which 75 were in the experimental arm. Local recurrence occurred in 31 patients, of which 16 were in the experimental arm. DFS at 5 years was 92.0% (95% con</w:t>
      </w:r>
      <w:r w:rsidRPr="006A1F2F">
        <w:rPr>
          <w:rFonts w:eastAsia="Calibri"/>
          <w:sz w:val="20"/>
          <w:szCs w:val="20"/>
          <w:lang w:val="en-IE"/>
        </w:rPr>
        <w:t>fi</w:t>
      </w:r>
      <w:r w:rsidRPr="006A1F2F">
        <w:rPr>
          <w:sz w:val="20"/>
          <w:szCs w:val="20"/>
          <w:lang w:val="en-IE"/>
        </w:rPr>
        <w:t xml:space="preserve">dence interval [CI] = 89.9-93.6%) in the experimental arm and 92.2% (95% CI = 89.9-94.0%) in the control arm (HR = 1.10; 95% CI = 0.78-1.54; P = 0.58). Thus, non-inferiority of the experimental arm was established. Local control at 5 years was 98.2% (95% CI = 97.0-98.9%) in the experimental arm and 98.0% (95% CI = 96.4-98.9%) in the control arm (HR = 1.08; 95% CI = 0.51-2.27; P = 0.84). Overall survival at 5 years was 98.2% (95% CI = 96.9-98.9%) in the experimental arm and 97.9% (95% CI = 96.5-98.7%) in the standard arm (HR = 0.78; 95% CI = 0.39-1.55; P = 0.48). Cumulative incidence of grade </w:t>
      </w:r>
      <w:r w:rsidRPr="006A1F2F">
        <w:rPr>
          <w:rFonts w:eastAsia="Calibri"/>
          <w:sz w:val="20"/>
          <w:szCs w:val="20"/>
          <w:lang w:val="en-IE"/>
        </w:rPr>
        <w:t xml:space="preserve">≥ </w:t>
      </w:r>
      <w:r w:rsidRPr="006A1F2F">
        <w:rPr>
          <w:sz w:val="20"/>
          <w:szCs w:val="20"/>
          <w:lang w:val="en-IE"/>
        </w:rPr>
        <w:t xml:space="preserve">2 </w:t>
      </w:r>
      <w:r w:rsidRPr="006A1F2F">
        <w:rPr>
          <w:rFonts w:eastAsia="Calibri"/>
          <w:sz w:val="20"/>
          <w:szCs w:val="20"/>
          <w:lang w:val="en-IE"/>
        </w:rPr>
        <w:t>fi</w:t>
      </w:r>
      <w:r w:rsidRPr="006A1F2F">
        <w:rPr>
          <w:sz w:val="20"/>
          <w:szCs w:val="20"/>
          <w:lang w:val="en-IE"/>
        </w:rPr>
        <w:t xml:space="preserve">brosis at 5 years was 7.3% in the experimental arm and 8.4% in the experimental arm (odds ratio = 0.86; 95% CI = 0.63-1.16; P = 0.32). Telangiectasia grade </w:t>
      </w:r>
      <w:r w:rsidRPr="006A1F2F">
        <w:rPr>
          <w:rFonts w:eastAsia="Calibri"/>
          <w:sz w:val="20"/>
          <w:szCs w:val="20"/>
          <w:lang w:val="en-IE"/>
        </w:rPr>
        <w:t xml:space="preserve">≥ </w:t>
      </w:r>
      <w:r w:rsidRPr="006A1F2F">
        <w:rPr>
          <w:sz w:val="20"/>
          <w:szCs w:val="20"/>
          <w:lang w:val="en-IE"/>
        </w:rPr>
        <w:t>2 had occurred in 1.5% in the experimental arm and 1.5% in the control arm at 5 years (OR = 0.97; 95% CI = 0.50-1.88; P = 0.92).</w:t>
      </w:r>
    </w:p>
    <w:p w:rsidR="00912308" w:rsidRPr="00BE24C8" w:rsidRDefault="006B466C" w:rsidP="008464EA">
      <w:pPr>
        <w:spacing w:after="64" w:line="360" w:lineRule="auto"/>
        <w:ind w:left="-5" w:right="0"/>
        <w:jc w:val="left"/>
        <w:rPr>
          <w:sz w:val="20"/>
          <w:szCs w:val="20"/>
          <w:lang w:val="en-IE"/>
        </w:rPr>
      </w:pPr>
      <w:r w:rsidRPr="006A1F2F">
        <w:rPr>
          <w:rFonts w:eastAsia="Calibri"/>
          <w:b/>
          <w:sz w:val="20"/>
          <w:szCs w:val="20"/>
          <w:lang w:val="en-IE"/>
        </w:rPr>
        <w:t>Conclusion:</w:t>
      </w:r>
      <w:r w:rsidRPr="006A1F2F">
        <w:rPr>
          <w:rFonts w:eastAsia="Calibri"/>
          <w:sz w:val="20"/>
          <w:szCs w:val="20"/>
          <w:lang w:val="en-IE"/>
        </w:rPr>
        <w:t xml:space="preserve"> </w:t>
      </w:r>
      <w:r w:rsidRPr="006A1F2F">
        <w:rPr>
          <w:sz w:val="20"/>
          <w:szCs w:val="20"/>
          <w:lang w:val="en-IE"/>
        </w:rPr>
        <w:t xml:space="preserve">Together with the </w:t>
      </w:r>
      <w:r w:rsidRPr="006A1F2F">
        <w:rPr>
          <w:rFonts w:eastAsia="Calibri"/>
          <w:sz w:val="20"/>
          <w:szCs w:val="20"/>
          <w:lang w:val="en-IE"/>
        </w:rPr>
        <w:t>fi</w:t>
      </w:r>
      <w:r w:rsidRPr="006A1F2F">
        <w:rPr>
          <w:sz w:val="20"/>
          <w:szCs w:val="20"/>
          <w:lang w:val="en-IE"/>
        </w:rPr>
        <w:t>ndings of IMPORT HIGH and RTOG 1005, the results of HYPOSIB demonstrate that HF with SIB can be considered a standard of care for adjuvant radiotherapy after BCS.</w:t>
      </w:r>
    </w:p>
    <w:tbl>
      <w:tblPr>
        <w:tblStyle w:val="TableGrid"/>
        <w:tblpPr w:vertAnchor="text" w:horzAnchor="margin" w:tblpY="1548"/>
        <w:tblOverlap w:val="never"/>
        <w:tblW w:w="10042" w:type="dxa"/>
        <w:tblInd w:w="0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10042"/>
      </w:tblGrid>
      <w:tr w:rsidR="00912308" w:rsidRPr="006A1F2F">
        <w:trPr>
          <w:trHeight w:val="318"/>
        </w:trPr>
        <w:tc>
          <w:tcPr>
            <w:tcW w:w="10042" w:type="dxa"/>
            <w:tcBorders>
              <w:top w:val="nil"/>
              <w:left w:val="nil"/>
              <w:bottom w:val="nil"/>
              <w:right w:val="nil"/>
            </w:tcBorders>
          </w:tcPr>
          <w:p w:rsidR="00912308" w:rsidRPr="006A1F2F" w:rsidRDefault="00912308">
            <w:pPr>
              <w:tabs>
                <w:tab w:val="right" w:pos="10042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912308" w:rsidRPr="006A1F2F" w:rsidRDefault="00912308" w:rsidP="00BE24C8">
      <w:pPr>
        <w:spacing w:after="382"/>
        <w:ind w:left="0" w:right="0" w:firstLine="0"/>
        <w:rPr>
          <w:sz w:val="20"/>
          <w:szCs w:val="20"/>
        </w:rPr>
      </w:pPr>
    </w:p>
    <w:sectPr w:rsidR="00912308" w:rsidRPr="006A1F2F" w:rsidSect="00B657A6">
      <w:type w:val="continuous"/>
      <w:pgSz w:w="11520" w:h="15479"/>
      <w:pgMar w:top="851" w:right="1455" w:bottom="709" w:left="1276" w:header="709" w:footer="709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B7A" w:rsidRDefault="005A5B7A" w:rsidP="00BE24C8">
      <w:pPr>
        <w:spacing w:after="0" w:line="240" w:lineRule="auto"/>
      </w:pPr>
      <w:r>
        <w:separator/>
      </w:r>
    </w:p>
  </w:endnote>
  <w:endnote w:type="continuationSeparator" w:id="0">
    <w:p w:rsidR="005A5B7A" w:rsidRDefault="005A5B7A" w:rsidP="00BE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B7A" w:rsidRDefault="005A5B7A" w:rsidP="00BE24C8">
      <w:pPr>
        <w:spacing w:after="0" w:line="240" w:lineRule="auto"/>
      </w:pPr>
      <w:r>
        <w:separator/>
      </w:r>
    </w:p>
  </w:footnote>
  <w:footnote w:type="continuationSeparator" w:id="0">
    <w:p w:rsidR="005A5B7A" w:rsidRDefault="005A5B7A" w:rsidP="00BE2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08"/>
    <w:rsid w:val="000B0E7D"/>
    <w:rsid w:val="002E424C"/>
    <w:rsid w:val="00365C6A"/>
    <w:rsid w:val="00390459"/>
    <w:rsid w:val="003B008E"/>
    <w:rsid w:val="005A5B7A"/>
    <w:rsid w:val="005F761B"/>
    <w:rsid w:val="006A1F2F"/>
    <w:rsid w:val="006B466C"/>
    <w:rsid w:val="0073044C"/>
    <w:rsid w:val="008464EA"/>
    <w:rsid w:val="008C1B41"/>
    <w:rsid w:val="00912308"/>
    <w:rsid w:val="00B657A6"/>
    <w:rsid w:val="00B95B57"/>
    <w:rsid w:val="00BE24C8"/>
    <w:rsid w:val="00C767FE"/>
    <w:rsid w:val="00C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351A"/>
  <w15:docId w15:val="{5089017F-BE3A-4401-B60C-4CBB4199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71" w:lineRule="auto"/>
      <w:ind w:left="139" w:right="130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E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4C8"/>
    <w:rPr>
      <w:rFonts w:ascii="Times New Roman" w:eastAsia="Times New Roman" w:hAnsi="Times New Roman" w:cs="Times New Roman"/>
      <w:color w:val="000000"/>
      <w:sz w:val="16"/>
    </w:rPr>
  </w:style>
  <w:style w:type="paragraph" w:styleId="Zpat">
    <w:name w:val="footer"/>
    <w:basedOn w:val="Normln"/>
    <w:link w:val="ZpatChar"/>
    <w:uiPriority w:val="99"/>
    <w:unhideWhenUsed/>
    <w:rsid w:val="00BE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4C8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Eva</dc:creator>
  <cp:keywords/>
  <cp:lastModifiedBy>Vyroubalová Eva</cp:lastModifiedBy>
  <cp:revision>14</cp:revision>
  <dcterms:created xsi:type="dcterms:W3CDTF">2024-11-06T09:50:00Z</dcterms:created>
  <dcterms:modified xsi:type="dcterms:W3CDTF">2024-11-11T11:43:00Z</dcterms:modified>
</cp:coreProperties>
</file>