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30" w:rsidRDefault="006F3030" w:rsidP="0088117C">
      <w:pPr>
        <w:spacing w:after="3" w:line="255" w:lineRule="auto"/>
        <w:ind w:left="-5" w:right="564"/>
        <w:jc w:val="left"/>
        <w:rPr>
          <w:rFonts w:eastAsia="Calibri"/>
          <w:b/>
          <w:sz w:val="24"/>
          <w:szCs w:val="24"/>
        </w:rPr>
      </w:pPr>
    </w:p>
    <w:p w:rsidR="00F23A6E" w:rsidRDefault="00F23A6E" w:rsidP="0088117C">
      <w:pPr>
        <w:spacing w:after="3" w:line="255" w:lineRule="auto"/>
        <w:ind w:left="-5" w:right="564"/>
        <w:jc w:val="left"/>
        <w:rPr>
          <w:rFonts w:eastAsia="Calibri"/>
          <w:b/>
          <w:sz w:val="24"/>
          <w:szCs w:val="24"/>
          <w:lang w:val="en-IE"/>
        </w:rPr>
      </w:pPr>
    </w:p>
    <w:p w:rsidR="00ED3F69" w:rsidRPr="00305703" w:rsidRDefault="005D7A15" w:rsidP="005C4D5A">
      <w:pPr>
        <w:spacing w:after="3" w:line="360" w:lineRule="auto"/>
        <w:ind w:left="-5" w:right="564"/>
        <w:jc w:val="left"/>
        <w:rPr>
          <w:rFonts w:eastAsia="Calibri"/>
          <w:b/>
          <w:sz w:val="24"/>
          <w:szCs w:val="24"/>
          <w:lang w:val="en-IE"/>
        </w:rPr>
      </w:pPr>
      <w:r w:rsidRPr="00305703">
        <w:rPr>
          <w:rFonts w:eastAsia="Calibri"/>
          <w:b/>
          <w:sz w:val="24"/>
          <w:szCs w:val="24"/>
          <w:lang w:val="en-IE"/>
        </w:rPr>
        <w:t>Interim Futility Results of NRG-HN005, A Randomized,</w:t>
      </w:r>
      <w:r w:rsidR="0088117C" w:rsidRPr="00305703">
        <w:rPr>
          <w:b/>
          <w:sz w:val="24"/>
          <w:szCs w:val="24"/>
          <w:lang w:val="en-IE"/>
        </w:rPr>
        <w:t xml:space="preserve"> </w:t>
      </w:r>
      <w:r w:rsidRPr="00305703">
        <w:rPr>
          <w:rFonts w:eastAsia="Calibri"/>
          <w:b/>
          <w:sz w:val="24"/>
          <w:szCs w:val="24"/>
          <w:lang w:val="en-IE"/>
        </w:rPr>
        <w:t>Phase II/III Non-Inferiority Trial for Non-Smoking p16+</w:t>
      </w:r>
      <w:r w:rsidR="0088117C" w:rsidRPr="00305703">
        <w:rPr>
          <w:b/>
          <w:sz w:val="24"/>
          <w:szCs w:val="24"/>
          <w:lang w:val="en-IE"/>
        </w:rPr>
        <w:t xml:space="preserve"> </w:t>
      </w:r>
      <w:r w:rsidRPr="00305703">
        <w:rPr>
          <w:rFonts w:eastAsia="Calibri"/>
          <w:b/>
          <w:sz w:val="24"/>
          <w:szCs w:val="24"/>
          <w:lang w:val="en-IE"/>
        </w:rPr>
        <w:t>Oropharyngeal Cancer Patients</w:t>
      </w:r>
    </w:p>
    <w:p w:rsidR="008605D3" w:rsidRPr="00305703" w:rsidRDefault="008605D3" w:rsidP="005C4D5A">
      <w:pPr>
        <w:spacing w:after="3" w:line="360" w:lineRule="auto"/>
        <w:ind w:left="-5" w:right="564"/>
        <w:jc w:val="left"/>
        <w:rPr>
          <w:b/>
          <w:sz w:val="24"/>
          <w:szCs w:val="24"/>
          <w:lang w:val="en-IE"/>
        </w:rPr>
      </w:pPr>
    </w:p>
    <w:p w:rsidR="008605D3" w:rsidRPr="00305703" w:rsidRDefault="005D7A15" w:rsidP="005C4D5A">
      <w:pPr>
        <w:spacing w:after="40" w:line="360" w:lineRule="auto"/>
        <w:ind w:left="-5" w:right="0"/>
        <w:jc w:val="left"/>
        <w:rPr>
          <w:sz w:val="20"/>
          <w:szCs w:val="20"/>
          <w:lang w:val="en-IE"/>
        </w:rPr>
      </w:pPr>
      <w:r w:rsidRPr="00E23716">
        <w:rPr>
          <w:sz w:val="20"/>
          <w:szCs w:val="20"/>
          <w:lang w:val="en-IE"/>
        </w:rPr>
        <w:t>S.S. Yom,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E23716">
        <w:rPr>
          <w:sz w:val="20"/>
          <w:szCs w:val="20"/>
          <w:lang w:val="en-IE"/>
        </w:rPr>
        <w:t>J. Harris,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2 </w:t>
      </w:r>
      <w:r w:rsidRPr="00E23716">
        <w:rPr>
          <w:sz w:val="20"/>
          <w:szCs w:val="20"/>
          <w:lang w:val="en-IE"/>
        </w:rPr>
        <w:t>J.J. Caudell,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E23716">
        <w:rPr>
          <w:sz w:val="20"/>
          <w:szCs w:val="20"/>
          <w:lang w:val="en-IE"/>
        </w:rPr>
        <w:t>J.L. Geiger,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4 </w:t>
      </w:r>
      <w:r w:rsidRPr="00E23716">
        <w:rPr>
          <w:sz w:val="20"/>
          <w:szCs w:val="20"/>
          <w:lang w:val="en-IE"/>
        </w:rPr>
        <w:t>J. Waldron,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5 </w:t>
      </w:r>
      <w:r w:rsidRPr="00E23716">
        <w:rPr>
          <w:sz w:val="20"/>
          <w:szCs w:val="20"/>
          <w:lang w:val="en-IE"/>
        </w:rPr>
        <w:t>M. Gillison,</w:t>
      </w:r>
      <w:r w:rsidRPr="00E23716">
        <w:rPr>
          <w:color w:val="0080AB"/>
          <w:sz w:val="20"/>
          <w:szCs w:val="20"/>
          <w:vertAlign w:val="superscript"/>
          <w:lang w:val="en-IE"/>
        </w:rPr>
        <w:t>6</w:t>
      </w:r>
      <w:r w:rsidR="006F3030" w:rsidRPr="00E23716">
        <w:rPr>
          <w:sz w:val="20"/>
          <w:szCs w:val="20"/>
          <w:lang w:val="en-IE"/>
        </w:rPr>
        <w:t xml:space="preserve"> </w:t>
      </w:r>
      <w:r w:rsidRPr="00E23716">
        <w:rPr>
          <w:sz w:val="20"/>
          <w:szCs w:val="20"/>
          <w:lang w:val="en-IE"/>
        </w:rPr>
        <w:t>R.M. Subramaniam,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7 </w:t>
      </w:r>
      <w:r w:rsidRPr="00E23716">
        <w:rPr>
          <w:sz w:val="20"/>
          <w:szCs w:val="20"/>
          <w:lang w:val="en-IE"/>
        </w:rPr>
        <w:t>M. Yao,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8 </w:t>
      </w:r>
      <w:r w:rsidRPr="00E23716">
        <w:rPr>
          <w:sz w:val="20"/>
          <w:szCs w:val="20"/>
          <w:lang w:val="en-IE"/>
        </w:rPr>
        <w:t>C. Xiao,</w:t>
      </w:r>
      <w:r w:rsidRPr="00E23716">
        <w:rPr>
          <w:color w:val="0080AB"/>
          <w:sz w:val="20"/>
          <w:szCs w:val="20"/>
          <w:vertAlign w:val="superscript"/>
          <w:lang w:val="en-IE"/>
        </w:rPr>
        <w:t xml:space="preserve">9 </w:t>
      </w:r>
      <w:r w:rsidRPr="00E23716">
        <w:rPr>
          <w:sz w:val="20"/>
          <w:szCs w:val="20"/>
          <w:lang w:val="en-IE"/>
        </w:rPr>
        <w:t>N. Kovalchuk</w:t>
      </w:r>
      <w:r w:rsidRPr="00305703">
        <w:rPr>
          <w:sz w:val="20"/>
          <w:szCs w:val="20"/>
          <w:lang w:val="en-IE"/>
        </w:rPr>
        <w:t>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10 </w:t>
      </w:r>
      <w:r w:rsidRPr="00305703">
        <w:rPr>
          <w:sz w:val="20"/>
          <w:szCs w:val="20"/>
          <w:lang w:val="en-IE"/>
        </w:rPr>
        <w:t>R. Martino,</w:t>
      </w:r>
      <w:proofErr w:type="gramStart"/>
      <w:r w:rsidRPr="00305703">
        <w:rPr>
          <w:color w:val="0080AB"/>
          <w:sz w:val="20"/>
          <w:szCs w:val="20"/>
          <w:vertAlign w:val="superscript"/>
          <w:lang w:val="en-IE"/>
        </w:rPr>
        <w:t>11</w:t>
      </w:r>
      <w:r w:rsidR="00E23716">
        <w:rPr>
          <w:color w:val="0080AB"/>
          <w:sz w:val="20"/>
          <w:szCs w:val="20"/>
          <w:vertAlign w:val="superscript"/>
          <w:lang w:val="en-IE"/>
        </w:rPr>
        <w:t xml:space="preserve">  </w:t>
      </w:r>
      <w:r w:rsidRPr="00305703">
        <w:rPr>
          <w:sz w:val="20"/>
          <w:szCs w:val="20"/>
          <w:lang w:val="en-IE"/>
        </w:rPr>
        <w:t>R.</w:t>
      </w:r>
      <w:proofErr w:type="gramEnd"/>
      <w:r w:rsidRPr="00305703">
        <w:rPr>
          <w:sz w:val="20"/>
          <w:szCs w:val="20"/>
          <w:lang w:val="en-IE"/>
        </w:rPr>
        <w:t xml:space="preserve"> Jordan,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 </w:t>
      </w:r>
      <w:r w:rsidRPr="00305703">
        <w:rPr>
          <w:sz w:val="20"/>
          <w:szCs w:val="20"/>
          <w:lang w:val="en-IE"/>
        </w:rPr>
        <w:t>C. Henson,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12 </w:t>
      </w:r>
      <w:r w:rsidRPr="00305703">
        <w:rPr>
          <w:sz w:val="20"/>
          <w:szCs w:val="20"/>
          <w:lang w:val="en-IE"/>
        </w:rPr>
        <w:t>M. Echevarria,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3 </w:t>
      </w:r>
      <w:r w:rsidRPr="00305703">
        <w:rPr>
          <w:sz w:val="20"/>
          <w:szCs w:val="20"/>
          <w:lang w:val="en-IE"/>
        </w:rPr>
        <w:t>C.E. Lominska,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13 </w:t>
      </w:r>
      <w:r w:rsidRPr="00305703">
        <w:rPr>
          <w:sz w:val="20"/>
          <w:szCs w:val="20"/>
          <w:lang w:val="en-IE"/>
        </w:rPr>
        <w:t>J.A. Dorth,</w:t>
      </w:r>
      <w:r w:rsidRPr="00305703">
        <w:rPr>
          <w:color w:val="0080AB"/>
          <w:sz w:val="20"/>
          <w:szCs w:val="20"/>
          <w:vertAlign w:val="superscript"/>
          <w:lang w:val="en-IE"/>
        </w:rPr>
        <w:t>14</w:t>
      </w:r>
      <w:r w:rsidR="006F3030" w:rsidRPr="00305703">
        <w:rPr>
          <w:sz w:val="20"/>
          <w:szCs w:val="20"/>
          <w:lang w:val="en-IE"/>
        </w:rPr>
        <w:t xml:space="preserve"> </w:t>
      </w:r>
      <w:r w:rsidRPr="00305703">
        <w:rPr>
          <w:sz w:val="20"/>
          <w:szCs w:val="20"/>
          <w:lang w:val="en-IE"/>
        </w:rPr>
        <w:t>W.A. Stokes,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15 </w:t>
      </w:r>
      <w:r w:rsidRPr="00305703">
        <w:rPr>
          <w:sz w:val="20"/>
          <w:szCs w:val="20"/>
          <w:lang w:val="en-IE"/>
        </w:rPr>
        <w:t>J. Chan,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16 </w:t>
      </w:r>
      <w:r w:rsidRPr="00305703">
        <w:rPr>
          <w:sz w:val="20"/>
          <w:szCs w:val="20"/>
          <w:lang w:val="en-IE"/>
        </w:rPr>
        <w:t>M.F. Gensheimer,</w:t>
      </w:r>
      <w:r w:rsidRPr="00305703">
        <w:rPr>
          <w:color w:val="0080AB"/>
          <w:sz w:val="20"/>
          <w:szCs w:val="20"/>
          <w:vertAlign w:val="superscript"/>
          <w:lang w:val="en-IE"/>
        </w:rPr>
        <w:t xml:space="preserve">17 </w:t>
      </w:r>
      <w:r w:rsidRPr="00305703">
        <w:rPr>
          <w:sz w:val="20"/>
          <w:szCs w:val="20"/>
          <w:lang w:val="en-IE"/>
        </w:rPr>
        <w:t>and Q.T. Le</w:t>
      </w:r>
      <w:r w:rsidRPr="00305703">
        <w:rPr>
          <w:color w:val="0080AB"/>
          <w:sz w:val="20"/>
          <w:szCs w:val="20"/>
          <w:vertAlign w:val="superscript"/>
          <w:lang w:val="en-IE"/>
        </w:rPr>
        <w:t>18</w:t>
      </w:r>
      <w:r w:rsidRPr="00305703">
        <w:rPr>
          <w:sz w:val="20"/>
          <w:szCs w:val="20"/>
          <w:lang w:val="en-IE"/>
        </w:rPr>
        <w:t>;</w:t>
      </w:r>
    </w:p>
    <w:p w:rsidR="008605D3" w:rsidRPr="00305703" w:rsidRDefault="008605D3" w:rsidP="005C4D5A">
      <w:pPr>
        <w:spacing w:after="33" w:line="360" w:lineRule="auto"/>
        <w:ind w:left="-5" w:right="0"/>
        <w:jc w:val="left"/>
        <w:rPr>
          <w:sz w:val="20"/>
          <w:szCs w:val="20"/>
          <w:vertAlign w:val="superscript"/>
          <w:lang w:val="en-IE"/>
        </w:rPr>
      </w:pPr>
    </w:p>
    <w:p w:rsidR="00ED3F69" w:rsidRPr="00305703" w:rsidRDefault="005D7A15" w:rsidP="005C4D5A">
      <w:pPr>
        <w:spacing w:after="33" w:line="360" w:lineRule="auto"/>
        <w:ind w:left="-5" w:right="0"/>
        <w:jc w:val="left"/>
        <w:rPr>
          <w:i/>
          <w:sz w:val="20"/>
          <w:szCs w:val="20"/>
          <w:lang w:val="en-IE"/>
        </w:rPr>
      </w:pPr>
      <w:r w:rsidRPr="00305703">
        <w:rPr>
          <w:i/>
          <w:sz w:val="20"/>
          <w:szCs w:val="20"/>
          <w:vertAlign w:val="superscript"/>
          <w:lang w:val="en-IE"/>
        </w:rPr>
        <w:t>1</w:t>
      </w:r>
      <w:r w:rsidRPr="00305703">
        <w:rPr>
          <w:i/>
          <w:sz w:val="20"/>
          <w:szCs w:val="20"/>
          <w:lang w:val="en-IE"/>
        </w:rPr>
        <w:t xml:space="preserve">University of California San Francisco, San Francisco, CA, </w:t>
      </w:r>
      <w:r w:rsidRPr="00305703">
        <w:rPr>
          <w:i/>
          <w:sz w:val="20"/>
          <w:szCs w:val="20"/>
          <w:vertAlign w:val="superscript"/>
          <w:lang w:val="en-IE"/>
        </w:rPr>
        <w:t>2</w:t>
      </w:r>
      <w:r w:rsidRPr="00305703">
        <w:rPr>
          <w:i/>
          <w:sz w:val="20"/>
          <w:szCs w:val="20"/>
          <w:lang w:val="en-IE"/>
        </w:rPr>
        <w:t xml:space="preserve">American College of Radiology, Philadelphia, PA, </w:t>
      </w:r>
      <w:r w:rsidRPr="00305703">
        <w:rPr>
          <w:i/>
          <w:sz w:val="20"/>
          <w:szCs w:val="20"/>
          <w:vertAlign w:val="superscript"/>
          <w:lang w:val="en-IE"/>
        </w:rPr>
        <w:t>3</w:t>
      </w:r>
      <w:r w:rsidRPr="00305703">
        <w:rPr>
          <w:i/>
          <w:sz w:val="20"/>
          <w:szCs w:val="20"/>
          <w:lang w:val="en-IE"/>
        </w:rPr>
        <w:t>H. Lee Mof</w:t>
      </w:r>
      <w:r w:rsidRPr="00305703">
        <w:rPr>
          <w:rFonts w:eastAsia="Calibri"/>
          <w:i/>
          <w:sz w:val="20"/>
          <w:szCs w:val="20"/>
          <w:lang w:val="en-IE"/>
        </w:rPr>
        <w:t>fi</w:t>
      </w:r>
      <w:r w:rsidRPr="00305703">
        <w:rPr>
          <w:i/>
          <w:sz w:val="20"/>
          <w:szCs w:val="20"/>
          <w:lang w:val="en-IE"/>
        </w:rPr>
        <w:t xml:space="preserve">tt Cancer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 xml:space="preserve"> and Research Institute, Department of Radiation Oncology, Tampa, FL, </w:t>
      </w:r>
      <w:r w:rsidRPr="00305703">
        <w:rPr>
          <w:i/>
          <w:sz w:val="20"/>
          <w:szCs w:val="20"/>
          <w:vertAlign w:val="superscript"/>
          <w:lang w:val="en-IE"/>
        </w:rPr>
        <w:t>4</w:t>
      </w:r>
      <w:r w:rsidRPr="00305703">
        <w:rPr>
          <w:i/>
          <w:sz w:val="20"/>
          <w:szCs w:val="20"/>
          <w:lang w:val="en-IE"/>
        </w:rPr>
        <w:t xml:space="preserve">Department of </w:t>
      </w:r>
      <w:proofErr w:type="spellStart"/>
      <w:r w:rsidRPr="00305703">
        <w:rPr>
          <w:i/>
          <w:sz w:val="20"/>
          <w:szCs w:val="20"/>
          <w:lang w:val="en-IE"/>
        </w:rPr>
        <w:t>Hematology</w:t>
      </w:r>
      <w:proofErr w:type="spellEnd"/>
      <w:r w:rsidRPr="00305703">
        <w:rPr>
          <w:i/>
          <w:sz w:val="20"/>
          <w:szCs w:val="20"/>
          <w:lang w:val="en-IE"/>
        </w:rPr>
        <w:t xml:space="preserve"> and Medical Oncology, Taussig Cancer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 xml:space="preserve">, Cleveland Clinic, Cleveland, OH, </w:t>
      </w:r>
      <w:r w:rsidRPr="00305703">
        <w:rPr>
          <w:i/>
          <w:sz w:val="20"/>
          <w:szCs w:val="20"/>
          <w:vertAlign w:val="superscript"/>
          <w:lang w:val="en-IE"/>
        </w:rPr>
        <w:t>5</w:t>
      </w:r>
      <w:r w:rsidRPr="00305703">
        <w:rPr>
          <w:i/>
          <w:sz w:val="20"/>
          <w:szCs w:val="20"/>
          <w:lang w:val="en-IE"/>
        </w:rPr>
        <w:t xml:space="preserve">Department of Radiation Oncology, Princess Margaret Cancer Centre, University of Toronto, Toronto, ON, Canada, </w:t>
      </w:r>
      <w:r w:rsidRPr="00305703">
        <w:rPr>
          <w:i/>
          <w:sz w:val="20"/>
          <w:szCs w:val="20"/>
          <w:vertAlign w:val="superscript"/>
          <w:lang w:val="en-IE"/>
        </w:rPr>
        <w:t>6</w:t>
      </w:r>
      <w:r w:rsidRPr="00305703">
        <w:rPr>
          <w:i/>
          <w:sz w:val="20"/>
          <w:szCs w:val="20"/>
          <w:lang w:val="en-IE"/>
        </w:rPr>
        <w:t>The University of Texas MD</w:t>
      </w:r>
      <w:r w:rsidR="008605D3" w:rsidRPr="00305703">
        <w:rPr>
          <w:i/>
          <w:sz w:val="20"/>
          <w:szCs w:val="20"/>
          <w:lang w:val="en-IE"/>
        </w:rPr>
        <w:t xml:space="preserve"> </w:t>
      </w:r>
      <w:r w:rsidRPr="00305703">
        <w:rPr>
          <w:i/>
          <w:sz w:val="20"/>
          <w:szCs w:val="20"/>
          <w:lang w:val="en-IE"/>
        </w:rPr>
        <w:t xml:space="preserve">Anderson Cancer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 xml:space="preserve">, Houston, TX, </w:t>
      </w:r>
      <w:r w:rsidRPr="00305703">
        <w:rPr>
          <w:i/>
          <w:sz w:val="20"/>
          <w:szCs w:val="20"/>
          <w:vertAlign w:val="superscript"/>
          <w:lang w:val="en-IE"/>
        </w:rPr>
        <w:t>7</w:t>
      </w:r>
      <w:r w:rsidRPr="00305703">
        <w:rPr>
          <w:i/>
          <w:sz w:val="20"/>
          <w:szCs w:val="20"/>
          <w:lang w:val="en-IE"/>
        </w:rPr>
        <w:t>University of Notre Dame, Sydney,</w:t>
      </w:r>
      <w:r w:rsidR="008605D3" w:rsidRPr="00305703">
        <w:rPr>
          <w:i/>
          <w:sz w:val="20"/>
          <w:szCs w:val="20"/>
          <w:lang w:val="en-IE"/>
        </w:rPr>
        <w:t xml:space="preserve"> </w:t>
      </w:r>
      <w:r w:rsidRPr="00305703">
        <w:rPr>
          <w:i/>
          <w:sz w:val="20"/>
          <w:szCs w:val="20"/>
          <w:lang w:val="en-IE"/>
        </w:rPr>
        <w:t xml:space="preserve">Australia, </w:t>
      </w:r>
      <w:r w:rsidRPr="00305703">
        <w:rPr>
          <w:i/>
          <w:sz w:val="20"/>
          <w:szCs w:val="20"/>
          <w:vertAlign w:val="superscript"/>
          <w:lang w:val="en-IE"/>
        </w:rPr>
        <w:t>8</w:t>
      </w:r>
      <w:r w:rsidRPr="00305703">
        <w:rPr>
          <w:i/>
          <w:sz w:val="20"/>
          <w:szCs w:val="20"/>
          <w:lang w:val="en-IE"/>
        </w:rPr>
        <w:t xml:space="preserve">University Hospitals Cleveland Medical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>, Cleveland, OH,</w:t>
      </w:r>
      <w:r w:rsidR="006F3030" w:rsidRPr="00305703">
        <w:rPr>
          <w:i/>
          <w:sz w:val="20"/>
          <w:szCs w:val="20"/>
          <w:lang w:val="en-IE"/>
        </w:rPr>
        <w:t xml:space="preserve"> </w:t>
      </w:r>
      <w:r w:rsidRPr="00305703">
        <w:rPr>
          <w:i/>
          <w:sz w:val="20"/>
          <w:szCs w:val="20"/>
          <w:vertAlign w:val="superscript"/>
          <w:lang w:val="en-IE"/>
        </w:rPr>
        <w:t>9</w:t>
      </w:r>
      <w:r w:rsidRPr="00305703">
        <w:rPr>
          <w:i/>
          <w:sz w:val="20"/>
          <w:szCs w:val="20"/>
          <w:vertAlign w:val="superscript"/>
          <w:lang w:val="en-IE"/>
        </w:rPr>
        <w:tab/>
      </w:r>
      <w:r w:rsidRPr="00305703">
        <w:rPr>
          <w:i/>
          <w:sz w:val="20"/>
          <w:szCs w:val="20"/>
          <w:lang w:val="en-IE"/>
        </w:rPr>
        <w:t>Yale University, Orange, CT,</w:t>
      </w:r>
      <w:r w:rsidR="00E777B4" w:rsidRPr="00305703">
        <w:rPr>
          <w:i/>
          <w:sz w:val="20"/>
          <w:szCs w:val="20"/>
          <w:lang w:val="en-IE"/>
        </w:rPr>
        <w:t xml:space="preserve"> </w:t>
      </w:r>
      <w:r w:rsidR="00E777B4" w:rsidRPr="00305703">
        <w:rPr>
          <w:i/>
          <w:sz w:val="20"/>
          <w:szCs w:val="20"/>
          <w:vertAlign w:val="superscript"/>
          <w:lang w:val="en-IE"/>
        </w:rPr>
        <w:t>10</w:t>
      </w:r>
      <w:r w:rsidR="00E777B4" w:rsidRPr="00305703">
        <w:rPr>
          <w:i/>
          <w:sz w:val="20"/>
          <w:szCs w:val="20"/>
          <w:lang w:val="en-IE"/>
        </w:rPr>
        <w:t xml:space="preserve"> </w:t>
      </w:r>
      <w:r w:rsidRPr="00305703">
        <w:rPr>
          <w:i/>
          <w:sz w:val="20"/>
          <w:szCs w:val="20"/>
          <w:lang w:val="en-IE"/>
        </w:rPr>
        <w:t xml:space="preserve">Department of Radiation Oncology, Stanford University, Stanford, CA, </w:t>
      </w:r>
      <w:r w:rsidRPr="00305703">
        <w:rPr>
          <w:i/>
          <w:sz w:val="20"/>
          <w:szCs w:val="20"/>
          <w:vertAlign w:val="superscript"/>
          <w:lang w:val="en-IE"/>
        </w:rPr>
        <w:t>11</w:t>
      </w:r>
      <w:r w:rsidRPr="00305703">
        <w:rPr>
          <w:i/>
          <w:sz w:val="20"/>
          <w:szCs w:val="20"/>
          <w:lang w:val="en-IE"/>
        </w:rPr>
        <w:t xml:space="preserve">Krembil Research Institute, University Health Network, Toronto, ON, Canada, </w:t>
      </w:r>
      <w:r w:rsidRPr="00305703">
        <w:rPr>
          <w:i/>
          <w:sz w:val="20"/>
          <w:szCs w:val="20"/>
          <w:vertAlign w:val="superscript"/>
          <w:lang w:val="en-IE"/>
        </w:rPr>
        <w:t>12</w:t>
      </w:r>
      <w:r w:rsidRPr="00305703">
        <w:rPr>
          <w:i/>
          <w:sz w:val="20"/>
          <w:szCs w:val="20"/>
          <w:lang w:val="en-IE"/>
        </w:rPr>
        <w:t>University of Oklahoma Health</w:t>
      </w:r>
      <w:r w:rsidR="006F3030" w:rsidRPr="00305703">
        <w:rPr>
          <w:i/>
          <w:sz w:val="20"/>
          <w:szCs w:val="20"/>
          <w:lang w:val="en-IE"/>
        </w:rPr>
        <w:t xml:space="preserve"> </w:t>
      </w:r>
      <w:r w:rsidRPr="00305703">
        <w:rPr>
          <w:i/>
          <w:sz w:val="20"/>
          <w:szCs w:val="20"/>
          <w:lang w:val="en-IE"/>
        </w:rPr>
        <w:t xml:space="preserve">Sciences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 xml:space="preserve">, OKLAHOMA CITY, OK, </w:t>
      </w:r>
      <w:r w:rsidRPr="00305703">
        <w:rPr>
          <w:i/>
          <w:sz w:val="20"/>
          <w:szCs w:val="20"/>
          <w:vertAlign w:val="superscript"/>
          <w:lang w:val="en-IE"/>
        </w:rPr>
        <w:t>13</w:t>
      </w:r>
      <w:r w:rsidRPr="00305703">
        <w:rPr>
          <w:i/>
          <w:sz w:val="20"/>
          <w:szCs w:val="20"/>
          <w:lang w:val="en-IE"/>
        </w:rPr>
        <w:t xml:space="preserve">Department of Radiation Oncology, University of Kansas Medical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 xml:space="preserve">, Kansas City, KS, </w:t>
      </w:r>
      <w:r w:rsidRPr="00305703">
        <w:rPr>
          <w:i/>
          <w:sz w:val="20"/>
          <w:szCs w:val="20"/>
          <w:vertAlign w:val="superscript"/>
          <w:lang w:val="en-IE"/>
        </w:rPr>
        <w:t>14</w:t>
      </w:r>
      <w:r w:rsidRPr="00305703">
        <w:rPr>
          <w:i/>
          <w:sz w:val="20"/>
          <w:szCs w:val="20"/>
          <w:lang w:val="en-IE"/>
        </w:rPr>
        <w:t xml:space="preserve">Department of Radiation Oncology, University Hospitals Seidman Cancer </w:t>
      </w:r>
      <w:proofErr w:type="spellStart"/>
      <w:r w:rsidRPr="00305703">
        <w:rPr>
          <w:i/>
          <w:sz w:val="20"/>
          <w:szCs w:val="20"/>
          <w:lang w:val="en-IE"/>
        </w:rPr>
        <w:t>Center</w:t>
      </w:r>
      <w:proofErr w:type="spellEnd"/>
      <w:r w:rsidRPr="00305703">
        <w:rPr>
          <w:i/>
          <w:sz w:val="20"/>
          <w:szCs w:val="20"/>
          <w:lang w:val="en-IE"/>
        </w:rPr>
        <w:t xml:space="preserve">, Case Western Reserve University, Cleveland, OH, </w:t>
      </w:r>
      <w:r w:rsidRPr="00305703">
        <w:rPr>
          <w:i/>
          <w:sz w:val="20"/>
          <w:szCs w:val="20"/>
          <w:vertAlign w:val="superscript"/>
          <w:lang w:val="en-IE"/>
        </w:rPr>
        <w:t>15</w:t>
      </w:r>
      <w:r w:rsidRPr="00305703">
        <w:rPr>
          <w:i/>
          <w:sz w:val="20"/>
          <w:szCs w:val="20"/>
          <w:lang w:val="en-IE"/>
        </w:rPr>
        <w:t>Department of Radiation</w:t>
      </w:r>
      <w:r w:rsidR="006F3030" w:rsidRPr="00305703">
        <w:rPr>
          <w:i/>
          <w:sz w:val="20"/>
          <w:szCs w:val="20"/>
          <w:lang w:val="en-IE"/>
        </w:rPr>
        <w:t xml:space="preserve"> </w:t>
      </w:r>
      <w:r w:rsidRPr="00305703">
        <w:rPr>
          <w:i/>
          <w:sz w:val="20"/>
          <w:szCs w:val="20"/>
          <w:lang w:val="en-IE"/>
        </w:rPr>
        <w:t xml:space="preserve">Oncology, Winship Cancer Institute of Emory University, Atlanta, GA, 16 University of California San Francisco, Department of Radiation Oncology, San Francisco, CA, </w:t>
      </w:r>
      <w:r w:rsidRPr="00305703">
        <w:rPr>
          <w:i/>
          <w:sz w:val="20"/>
          <w:szCs w:val="20"/>
          <w:vertAlign w:val="superscript"/>
          <w:lang w:val="en-IE"/>
        </w:rPr>
        <w:t>17</w:t>
      </w:r>
      <w:r w:rsidRPr="00305703">
        <w:rPr>
          <w:i/>
          <w:sz w:val="20"/>
          <w:szCs w:val="20"/>
          <w:lang w:val="en-IE"/>
        </w:rPr>
        <w:t xml:space="preserve">Radiation Oncology, Stanford University, Stanford, CA, </w:t>
      </w:r>
      <w:r w:rsidRPr="00305703">
        <w:rPr>
          <w:i/>
          <w:sz w:val="20"/>
          <w:szCs w:val="20"/>
          <w:vertAlign w:val="superscript"/>
          <w:lang w:val="en-IE"/>
        </w:rPr>
        <w:t>18</w:t>
      </w:r>
      <w:r w:rsidRPr="00305703">
        <w:rPr>
          <w:i/>
          <w:sz w:val="20"/>
          <w:szCs w:val="20"/>
          <w:lang w:val="en-IE"/>
        </w:rPr>
        <w:t>Stanford University, Stanford, CA</w:t>
      </w:r>
    </w:p>
    <w:p w:rsidR="006F3030" w:rsidRPr="00305703" w:rsidRDefault="006F3030" w:rsidP="005C4D5A">
      <w:pPr>
        <w:spacing w:after="33" w:line="360" w:lineRule="auto"/>
        <w:ind w:left="-5" w:right="0"/>
        <w:jc w:val="left"/>
        <w:rPr>
          <w:i/>
          <w:sz w:val="20"/>
          <w:szCs w:val="20"/>
          <w:lang w:val="en-IE"/>
        </w:rPr>
      </w:pPr>
    </w:p>
    <w:p w:rsidR="00ED3F69" w:rsidRPr="00305703" w:rsidRDefault="005D7A15" w:rsidP="005C4D5A">
      <w:pPr>
        <w:spacing w:line="360" w:lineRule="auto"/>
        <w:ind w:left="43" w:right="0" w:firstLine="0"/>
        <w:jc w:val="left"/>
        <w:rPr>
          <w:sz w:val="20"/>
          <w:szCs w:val="20"/>
          <w:lang w:val="en-IE"/>
        </w:rPr>
      </w:pPr>
      <w:r w:rsidRPr="00305703">
        <w:rPr>
          <w:rFonts w:eastAsia="Calibri"/>
          <w:b/>
          <w:sz w:val="20"/>
          <w:szCs w:val="20"/>
          <w:lang w:val="en-IE"/>
        </w:rPr>
        <w:t>Purpose/Objective(s):</w:t>
      </w:r>
      <w:r w:rsidRPr="00305703">
        <w:rPr>
          <w:rFonts w:eastAsia="Calibri"/>
          <w:sz w:val="20"/>
          <w:szCs w:val="20"/>
          <w:lang w:val="en-IE"/>
        </w:rPr>
        <w:t xml:space="preserve"> </w:t>
      </w:r>
      <w:r w:rsidRPr="00305703">
        <w:rPr>
          <w:sz w:val="20"/>
          <w:szCs w:val="20"/>
          <w:lang w:val="en-IE"/>
        </w:rPr>
        <w:t>NRG-HN005 was a phase II/III randomized study comparing each of two experimental arm(s) against a control arm from RTOG 1016, in patients with p16+, non-smoking associated, locoregionally advanced oropharyngeal cancer. The phase II primary endpoint was noninferiority (NI) of progression-free survival (PFS). The phase III trial would</w:t>
      </w:r>
      <w:r w:rsidR="000935FF" w:rsidRPr="00305703">
        <w:rPr>
          <w:sz w:val="20"/>
          <w:szCs w:val="20"/>
          <w:lang w:val="en-IE"/>
        </w:rPr>
        <w:t xml:space="preserve"> </w:t>
      </w:r>
      <w:r w:rsidRPr="00305703">
        <w:rPr>
          <w:sz w:val="20"/>
          <w:szCs w:val="20"/>
          <w:lang w:val="en-IE"/>
        </w:rPr>
        <w:t>have included the experimental arm(s) found to be NI in phase II, with coprimary endpoints of NI PFS and superior quality of life.</w:t>
      </w:r>
    </w:p>
    <w:p w:rsidR="00ED3F69" w:rsidRPr="00305703" w:rsidRDefault="000935FF" w:rsidP="005C4D5A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305703">
        <w:rPr>
          <w:rFonts w:eastAsia="Calibri"/>
          <w:b/>
          <w:sz w:val="20"/>
          <w:szCs w:val="20"/>
          <w:lang w:val="en-IE"/>
        </w:rPr>
        <w:t xml:space="preserve"> </w:t>
      </w:r>
      <w:r w:rsidR="005D7A15" w:rsidRPr="00305703">
        <w:rPr>
          <w:rFonts w:eastAsia="Calibri"/>
          <w:b/>
          <w:sz w:val="20"/>
          <w:szCs w:val="20"/>
          <w:lang w:val="en-IE"/>
        </w:rPr>
        <w:t>Materials/Methods:</w:t>
      </w:r>
      <w:r w:rsidR="005D7A15" w:rsidRPr="00305703">
        <w:rPr>
          <w:rFonts w:eastAsia="Calibri"/>
          <w:sz w:val="20"/>
          <w:szCs w:val="20"/>
          <w:lang w:val="en-IE"/>
        </w:rPr>
        <w:t xml:space="preserve"> </w:t>
      </w:r>
      <w:r w:rsidR="005D7A15" w:rsidRPr="00305703">
        <w:rPr>
          <w:sz w:val="20"/>
          <w:szCs w:val="20"/>
          <w:lang w:val="en-IE"/>
        </w:rPr>
        <w:t>Eligible patients had p16+ stage T1-2N1M0 or T3N0-N1M0 (AJCC 8</w:t>
      </w:r>
      <w:r w:rsidR="005D7A15" w:rsidRPr="00305703">
        <w:rPr>
          <w:sz w:val="20"/>
          <w:szCs w:val="20"/>
          <w:vertAlign w:val="superscript"/>
          <w:lang w:val="en-IE"/>
        </w:rPr>
        <w:t xml:space="preserve">th </w:t>
      </w:r>
      <w:r w:rsidR="005D7A15" w:rsidRPr="00305703">
        <w:rPr>
          <w:sz w:val="20"/>
          <w:szCs w:val="20"/>
          <w:lang w:val="en-IE"/>
        </w:rPr>
        <w:t xml:space="preserve">edition) oropharyngeal squamous cell carcinoma and </w:t>
      </w:r>
      <w:r w:rsidR="005D7A15" w:rsidRPr="00305703">
        <w:rPr>
          <w:rFonts w:eastAsia="Calibri"/>
          <w:sz w:val="20"/>
          <w:szCs w:val="20"/>
          <w:lang w:val="en-IE"/>
        </w:rPr>
        <w:t>≤</w:t>
      </w:r>
      <w:r w:rsidR="005D7A15" w:rsidRPr="00305703">
        <w:rPr>
          <w:sz w:val="20"/>
          <w:szCs w:val="20"/>
          <w:lang w:val="en-IE"/>
        </w:rPr>
        <w:t>10 pack-year smoking history. Patients were strati</w:t>
      </w:r>
      <w:r w:rsidR="005D7A15" w:rsidRPr="00305703">
        <w:rPr>
          <w:rFonts w:eastAsia="Calibri"/>
          <w:sz w:val="20"/>
          <w:szCs w:val="20"/>
          <w:lang w:val="en-IE"/>
        </w:rPr>
        <w:t>fi</w:t>
      </w:r>
      <w:r w:rsidR="005D7A15" w:rsidRPr="00305703">
        <w:rPr>
          <w:sz w:val="20"/>
          <w:szCs w:val="20"/>
          <w:lang w:val="en-IE"/>
        </w:rPr>
        <w:t xml:space="preserve">ed by </w:t>
      </w:r>
      <w:proofErr w:type="spellStart"/>
      <w:r w:rsidR="005D7A15" w:rsidRPr="00305703">
        <w:rPr>
          <w:sz w:val="20"/>
          <w:szCs w:val="20"/>
          <w:lang w:val="en-IE"/>
        </w:rPr>
        <w:t>Zubrod</w:t>
      </w:r>
      <w:proofErr w:type="spellEnd"/>
      <w:r w:rsidR="005D7A15" w:rsidRPr="00305703">
        <w:rPr>
          <w:sz w:val="20"/>
          <w:szCs w:val="20"/>
          <w:lang w:val="en-IE"/>
        </w:rPr>
        <w:t xml:space="preserve"> performance status and randomized (1:1:1) to 70 </w:t>
      </w:r>
      <w:proofErr w:type="spellStart"/>
      <w:r w:rsidR="005D7A15" w:rsidRPr="00305703">
        <w:rPr>
          <w:sz w:val="20"/>
          <w:szCs w:val="20"/>
          <w:lang w:val="en-IE"/>
        </w:rPr>
        <w:t>Gy</w:t>
      </w:r>
      <w:proofErr w:type="spellEnd"/>
      <w:r w:rsidR="005D7A15" w:rsidRPr="00305703">
        <w:rPr>
          <w:sz w:val="20"/>
          <w:szCs w:val="20"/>
          <w:lang w:val="en-IE"/>
        </w:rPr>
        <w:t xml:space="preserve"> of intensity modulated radiation therapy (IMRT) over 6 weeks + Cisplatin at 100 mg/m</w:t>
      </w:r>
      <w:r w:rsidR="005D7A15" w:rsidRPr="00305703">
        <w:rPr>
          <w:sz w:val="20"/>
          <w:szCs w:val="20"/>
          <w:vertAlign w:val="superscript"/>
          <w:lang w:val="en-IE"/>
        </w:rPr>
        <w:t xml:space="preserve">2 </w:t>
      </w:r>
      <w:r w:rsidR="005D7A15" w:rsidRPr="00305703">
        <w:rPr>
          <w:sz w:val="20"/>
          <w:szCs w:val="20"/>
          <w:lang w:val="en-IE"/>
        </w:rPr>
        <w:t xml:space="preserve">every 3 weeks (Arm 1) vs 60 </w:t>
      </w:r>
      <w:proofErr w:type="spellStart"/>
      <w:r w:rsidR="005D7A15" w:rsidRPr="00305703">
        <w:rPr>
          <w:sz w:val="20"/>
          <w:szCs w:val="20"/>
          <w:lang w:val="en-IE"/>
        </w:rPr>
        <w:t>Gy</w:t>
      </w:r>
      <w:proofErr w:type="spellEnd"/>
      <w:r w:rsidR="005D7A15" w:rsidRPr="00305703">
        <w:rPr>
          <w:sz w:val="20"/>
          <w:szCs w:val="20"/>
          <w:lang w:val="en-IE"/>
        </w:rPr>
        <w:t xml:space="preserve"> IMRT over 6 weeks + Cisplatin at 100 mg/m</w:t>
      </w:r>
      <w:r w:rsidR="005D7A15" w:rsidRPr="00305703">
        <w:rPr>
          <w:sz w:val="20"/>
          <w:szCs w:val="20"/>
          <w:vertAlign w:val="superscript"/>
          <w:lang w:val="en-IE"/>
        </w:rPr>
        <w:t xml:space="preserve">2 </w:t>
      </w:r>
      <w:r w:rsidR="005D7A15" w:rsidRPr="00305703">
        <w:rPr>
          <w:sz w:val="20"/>
          <w:szCs w:val="20"/>
          <w:lang w:val="en-IE"/>
        </w:rPr>
        <w:t xml:space="preserve">every 3 weeks (Arm 2) vs 60 </w:t>
      </w:r>
      <w:proofErr w:type="spellStart"/>
      <w:r w:rsidR="005D7A15" w:rsidRPr="00305703">
        <w:rPr>
          <w:sz w:val="20"/>
          <w:szCs w:val="20"/>
          <w:lang w:val="en-IE"/>
        </w:rPr>
        <w:t>Gy</w:t>
      </w:r>
      <w:proofErr w:type="spellEnd"/>
      <w:r w:rsidR="005D7A15" w:rsidRPr="00305703">
        <w:rPr>
          <w:sz w:val="20"/>
          <w:szCs w:val="20"/>
          <w:lang w:val="en-IE"/>
        </w:rPr>
        <w:t xml:space="preserve"> IMRT over 5 weeks with nivolumab (Arm 3). For trial design, the assumed 9-month PFS was 96.5% and the lower threshold for Arms 2 and 3 was 91.8% (absolute NI margin 4.7%), for a hazard ratio (HR) boundary HR </w:t>
      </w:r>
      <w:r w:rsidR="005D7A15" w:rsidRPr="00305703">
        <w:rPr>
          <w:rFonts w:eastAsia="Calibri"/>
          <w:sz w:val="20"/>
          <w:szCs w:val="20"/>
          <w:lang w:val="en-IE"/>
        </w:rPr>
        <w:t xml:space="preserve">&lt; </w:t>
      </w:r>
      <w:r w:rsidR="005D7A15" w:rsidRPr="00305703">
        <w:rPr>
          <w:sz w:val="20"/>
          <w:szCs w:val="20"/>
          <w:lang w:val="en-IE"/>
        </w:rPr>
        <w:t>2.4 required for noninferiority. With one-sided type I error rate of 10% per test and 80% power, a log-rank test required 22 events from 266 patients per comparison (requiring 133 patients per arm and a total sample size of 399). In phase II, a futility analysis would be triggered for each comparison after 50% of the PFS events (11/22) had been reported. If the observed HR exceeded the NI margin, accrual would be discontinued. All randomized patients were included in analysis.</w:t>
      </w:r>
    </w:p>
    <w:p w:rsidR="005C4D5A" w:rsidRDefault="005C4D5A" w:rsidP="005C4D5A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5C4D5A" w:rsidRDefault="005C4D5A" w:rsidP="005C4D5A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5C4D5A" w:rsidRDefault="005C4D5A" w:rsidP="005C4D5A">
      <w:pPr>
        <w:spacing w:line="360" w:lineRule="auto"/>
        <w:ind w:left="-5" w:right="0"/>
        <w:jc w:val="left"/>
        <w:rPr>
          <w:rFonts w:eastAsia="Calibri"/>
          <w:b/>
          <w:sz w:val="20"/>
          <w:szCs w:val="20"/>
          <w:lang w:val="en-IE"/>
        </w:rPr>
      </w:pPr>
    </w:p>
    <w:p w:rsidR="00ED3F69" w:rsidRPr="00305703" w:rsidRDefault="005D7A15" w:rsidP="005C4D5A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bookmarkStart w:id="0" w:name="_GoBack"/>
      <w:bookmarkEnd w:id="0"/>
      <w:r w:rsidRPr="00305703">
        <w:rPr>
          <w:rFonts w:eastAsia="Calibri"/>
          <w:b/>
          <w:sz w:val="20"/>
          <w:szCs w:val="20"/>
          <w:lang w:val="en-IE"/>
        </w:rPr>
        <w:t>Results:</w:t>
      </w:r>
      <w:r w:rsidRPr="00305703">
        <w:rPr>
          <w:rFonts w:eastAsia="Calibri"/>
          <w:sz w:val="20"/>
          <w:szCs w:val="20"/>
          <w:lang w:val="en-IE"/>
        </w:rPr>
        <w:t xml:space="preserve"> </w:t>
      </w:r>
      <w:r w:rsidRPr="00305703">
        <w:rPr>
          <w:sz w:val="20"/>
          <w:szCs w:val="20"/>
          <w:lang w:val="en-IE"/>
        </w:rPr>
        <w:t xml:space="preserve">Phase II accrued from 7/10/19 to 11/8/23. Accrual was suspended from 2/3/23 to 5/25/23, to discontinue Arm 2, after which randomization continued (1:1) to Arms 1 and 3 to complete the new phase II sample size of 382 patients. The median age was 60 years, 90.6% were male, 87.5% were White, and 84.9% had stage I disease. The </w:t>
      </w:r>
      <w:r w:rsidRPr="00305703">
        <w:rPr>
          <w:rFonts w:eastAsia="Calibri"/>
          <w:sz w:val="20"/>
          <w:szCs w:val="20"/>
          <w:lang w:val="en-IE"/>
        </w:rPr>
        <w:t>fi</w:t>
      </w:r>
      <w:r w:rsidRPr="00305703">
        <w:rPr>
          <w:sz w:val="20"/>
          <w:szCs w:val="20"/>
          <w:lang w:val="en-IE"/>
        </w:rPr>
        <w:t>rst futility analysis was conducted after 11 PFS events (Arm 1: 2, Arm 2: 9) were reported, at a median follow-up of 1.1 years. The estimated HR was 4.34 (1-sided 90% upper con</w:t>
      </w:r>
      <w:r w:rsidRPr="00305703">
        <w:rPr>
          <w:rFonts w:eastAsia="Calibri"/>
          <w:sz w:val="20"/>
          <w:szCs w:val="20"/>
          <w:lang w:val="en-IE"/>
        </w:rPr>
        <w:t>fi</w:t>
      </w:r>
      <w:r w:rsidRPr="00305703">
        <w:rPr>
          <w:sz w:val="20"/>
          <w:szCs w:val="20"/>
          <w:lang w:val="en-IE"/>
        </w:rPr>
        <w:t>dence limit 11.83). The second futility analysis was triggered after 11 PFS events (Arm 1: 2, Arm 3: 9) were reported, at a median follow-up of</w:t>
      </w:r>
    </w:p>
    <w:p w:rsidR="00ED3F69" w:rsidRPr="00305703" w:rsidRDefault="005D7A15" w:rsidP="005C4D5A">
      <w:pPr>
        <w:spacing w:line="360" w:lineRule="auto"/>
        <w:ind w:left="-5" w:right="0"/>
        <w:jc w:val="left"/>
        <w:rPr>
          <w:sz w:val="20"/>
          <w:szCs w:val="20"/>
          <w:lang w:val="en-IE"/>
        </w:rPr>
      </w:pPr>
      <w:r w:rsidRPr="00305703">
        <w:rPr>
          <w:sz w:val="20"/>
          <w:szCs w:val="20"/>
          <w:lang w:val="en-IE"/>
        </w:rPr>
        <w:t>1.7 years. The estimated HR was 4.51 (1-sided 90% upper con</w:t>
      </w:r>
      <w:r w:rsidRPr="00305703">
        <w:rPr>
          <w:rFonts w:eastAsia="Calibri"/>
          <w:sz w:val="20"/>
          <w:szCs w:val="20"/>
          <w:lang w:val="en-IE"/>
        </w:rPr>
        <w:t>fi</w:t>
      </w:r>
      <w:r w:rsidRPr="00305703">
        <w:rPr>
          <w:sz w:val="20"/>
          <w:szCs w:val="20"/>
          <w:lang w:val="en-IE"/>
        </w:rPr>
        <w:t>dence limit 12.29). Accrual would have stopped but phase II had already completed. At present (median follow-up 2.2 years), 2-year PFS estimates are 98.1% (95% CI 95.4, 100) for Arm 1, 88.6% (95% CI 82.4, 94.7) for Arm 2, and 90.3% (95% CI 84.5, 96.1) for Arm 3. The 2-year overall survival estimates are 99.0% (95% CI 97.0, 100), 98.0% (95% CI 95.2, 100), and 96.1% (95% CI</w:t>
      </w:r>
      <w:r w:rsidR="00E23716">
        <w:rPr>
          <w:sz w:val="20"/>
          <w:szCs w:val="20"/>
          <w:lang w:val="en-IE"/>
        </w:rPr>
        <w:t xml:space="preserve"> </w:t>
      </w:r>
      <w:r w:rsidRPr="00305703">
        <w:rPr>
          <w:sz w:val="20"/>
          <w:szCs w:val="20"/>
          <w:lang w:val="en-IE"/>
        </w:rPr>
        <w:t>92.3, 99.9), respectively.</w:t>
      </w:r>
    </w:p>
    <w:p w:rsidR="00ED3F69" w:rsidRPr="00305703" w:rsidRDefault="005D7A15" w:rsidP="005C4D5A">
      <w:pPr>
        <w:spacing w:after="67" w:line="360" w:lineRule="auto"/>
        <w:ind w:left="-5" w:right="0"/>
        <w:jc w:val="left"/>
        <w:rPr>
          <w:sz w:val="20"/>
          <w:szCs w:val="20"/>
          <w:lang w:val="en-IE"/>
        </w:rPr>
      </w:pPr>
      <w:r w:rsidRPr="00305703">
        <w:rPr>
          <w:rFonts w:eastAsia="Calibri"/>
          <w:b/>
          <w:sz w:val="20"/>
          <w:szCs w:val="20"/>
          <w:lang w:val="en-IE"/>
        </w:rPr>
        <w:t>Conclusion:</w:t>
      </w:r>
      <w:r w:rsidRPr="00305703">
        <w:rPr>
          <w:rFonts w:eastAsia="Calibri"/>
          <w:sz w:val="20"/>
          <w:szCs w:val="20"/>
          <w:lang w:val="en-IE"/>
        </w:rPr>
        <w:t xml:space="preserve"> </w:t>
      </w:r>
      <w:r w:rsidRPr="00305703">
        <w:rPr>
          <w:sz w:val="20"/>
          <w:szCs w:val="20"/>
          <w:lang w:val="en-IE"/>
        </w:rPr>
        <w:t xml:space="preserve">The failure of the experimental arms to satisfy non-inferiority is due in part to the highly </w:t>
      </w:r>
      <w:proofErr w:type="spellStart"/>
      <w:r w:rsidRPr="00305703">
        <w:rPr>
          <w:sz w:val="20"/>
          <w:szCs w:val="20"/>
          <w:lang w:val="en-IE"/>
        </w:rPr>
        <w:t>favorable</w:t>
      </w:r>
      <w:proofErr w:type="spellEnd"/>
      <w:r w:rsidRPr="00305703">
        <w:rPr>
          <w:sz w:val="20"/>
          <w:szCs w:val="20"/>
          <w:lang w:val="en-IE"/>
        </w:rPr>
        <w:t xml:space="preserve"> outcome for the RTOG 1016 regimen, which demonstrated a 98% PFS rate through 2 years. A phase III trial will not proceed.</w:t>
      </w:r>
    </w:p>
    <w:sectPr w:rsidR="00ED3F69" w:rsidRPr="00305703" w:rsidSect="005C4D5A">
      <w:type w:val="continuous"/>
      <w:pgSz w:w="11520" w:h="15479"/>
      <w:pgMar w:top="568" w:right="1174" w:bottom="680" w:left="1134" w:header="709" w:footer="709" w:gutter="0"/>
      <w:cols w:space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69"/>
    <w:rsid w:val="000935FF"/>
    <w:rsid w:val="00305703"/>
    <w:rsid w:val="005C4D5A"/>
    <w:rsid w:val="005D7A15"/>
    <w:rsid w:val="006F3030"/>
    <w:rsid w:val="008605D3"/>
    <w:rsid w:val="0088117C"/>
    <w:rsid w:val="00E23716"/>
    <w:rsid w:val="00E777B4"/>
    <w:rsid w:val="00ED3F69"/>
    <w:rsid w:val="00F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3EB1"/>
  <w15:docId w15:val="{18006DC7-B7B9-49AE-B489-AA421A4F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6" w:line="268" w:lineRule="auto"/>
      <w:ind w:left="53" w:right="1" w:hanging="10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3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792C-D3D2-4BAD-999D-0AB536EB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Eva</dc:creator>
  <cp:keywords/>
  <cp:lastModifiedBy>Vyroubalová Eva</cp:lastModifiedBy>
  <cp:revision>9</cp:revision>
  <dcterms:created xsi:type="dcterms:W3CDTF">2024-11-07T14:12:00Z</dcterms:created>
  <dcterms:modified xsi:type="dcterms:W3CDTF">2024-11-11T07:49:00Z</dcterms:modified>
</cp:coreProperties>
</file>