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BD42" w14:textId="40C2FC2B" w:rsidR="004C1C16" w:rsidRPr="00C433A3" w:rsidRDefault="00182E58" w:rsidP="00182E58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</w:pPr>
      <w:r w:rsidRPr="00C433A3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>Bladder adjuvant radiotherapy (</w:t>
      </w:r>
      <w:proofErr w:type="spellStart"/>
      <w:r w:rsidRPr="00C433A3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>bart</w:t>
      </w:r>
      <w:proofErr w:type="spellEnd"/>
      <w:r w:rsidRPr="00C433A3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 xml:space="preserve">): clinical outcomes from a phase </w:t>
      </w:r>
      <w:r w:rsidR="00DD5652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>III</w:t>
      </w:r>
      <w:r w:rsidRPr="00C433A3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 xml:space="preserve"> </w:t>
      </w:r>
      <w:proofErr w:type="spellStart"/>
      <w:r w:rsidRPr="00C433A3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>multicenter</w:t>
      </w:r>
      <w:proofErr w:type="spellEnd"/>
      <w:r w:rsidRPr="00C433A3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cs-CZ"/>
          <w14:ligatures w14:val="none"/>
        </w:rPr>
        <w:t xml:space="preserve"> randomized controlled trial</w:t>
      </w:r>
    </w:p>
    <w:p w14:paraId="2F2B7390" w14:textId="77777777" w:rsidR="00182E58" w:rsidRPr="00C433A3" w:rsidRDefault="00182E58" w:rsidP="00182E58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val="en-GB" w:eastAsia="cs-CZ"/>
          <w14:ligatures w14:val="none"/>
        </w:rPr>
      </w:pPr>
    </w:p>
    <w:p w14:paraId="6873DF8C" w14:textId="705DA7F5" w:rsidR="00182E58" w:rsidRPr="00C433A3" w:rsidRDefault="004C1C16" w:rsidP="00182E5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V. Murthy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P. Maitre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M. Pal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R. Sharma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2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L. Pujari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3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D. Gudipudi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2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D. M. Joseph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4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B. Bandekar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3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R. Krishnatry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M. Singh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P. Verma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DD565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S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. Kannan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5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R. Phurailatpam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6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A. Arora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A. Joshi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V. Noronha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K. Prabhash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S. Menon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G. Bakshi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, and G. Prakash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;</w:t>
      </w:r>
    </w:p>
    <w:p w14:paraId="5401564B" w14:textId="77777777" w:rsidR="00182E58" w:rsidRPr="00C433A3" w:rsidRDefault="00182E58" w:rsidP="00182E5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</w:p>
    <w:p w14:paraId="50416E43" w14:textId="4053F7FE" w:rsidR="004C1C16" w:rsidRPr="00C433A3" w:rsidRDefault="004C1C16" w:rsidP="00182E5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1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Tata Memorial Centre, </w:t>
      </w:r>
      <w:proofErr w:type="spellStart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Homi</w:t>
      </w:r>
      <w:proofErr w:type="spellEnd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 Bhabha National Institute, Mumbai, India, 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2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Basavatarakam Indo-American Cancer Hospital and Research Institute, Hyderabad, India, 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3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Mahamana Pandit Madan Mohan </w:t>
      </w:r>
      <w:proofErr w:type="spellStart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Malaviya</w:t>
      </w:r>
      <w:proofErr w:type="spellEnd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 Cancer Centre and </w:t>
      </w:r>
      <w:proofErr w:type="spellStart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Homi</w:t>
      </w:r>
      <w:proofErr w:type="spellEnd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 Bhabha Cancer Hospital, </w:t>
      </w:r>
      <w:proofErr w:type="spellStart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Homi</w:t>
      </w:r>
      <w:proofErr w:type="spellEnd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 Bha</w:t>
      </w:r>
      <w:bookmarkStart w:id="0" w:name="_GoBack"/>
      <w:bookmarkEnd w:id="0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bha National Institute, Varanasi, India, 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4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All India Institute of Medical Sciences, Dehradun, India, 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5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ACTREC, Tata Memorial Centre, </w:t>
      </w:r>
      <w:proofErr w:type="spellStart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Homi</w:t>
      </w:r>
      <w:proofErr w:type="spellEnd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 Bhabha National Institute, Navi Mumbai, India, 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val="en-GB" w:eastAsia="cs-CZ"/>
          <w14:ligatures w14:val="none"/>
        </w:rPr>
        <w:t>6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ACTREC, Tata Memorial Centre, </w:t>
      </w:r>
      <w:proofErr w:type="spellStart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Homi</w:t>
      </w:r>
      <w:proofErr w:type="spellEnd"/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 xml:space="preserve"> Bhabha National Institute, Mumbai, India</w:t>
      </w:r>
      <w:r w:rsidRPr="00C433A3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val="en-GB" w:eastAsia="cs-CZ"/>
          <w14:ligatures w14:val="none"/>
        </w:rPr>
        <w:br/>
      </w:r>
    </w:p>
    <w:p w14:paraId="3B11510C" w14:textId="7888FD67" w:rsidR="004C1C16" w:rsidRPr="00C433A3" w:rsidRDefault="004C1C16" w:rsidP="00182E5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C433A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t>Purpose/Objective(s):</w:t>
      </w:r>
      <w:r w:rsidR="00182E58"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To report clinical outcomes from the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multicenter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phase III randomized trial of adjuvant radiotherapy (RT) after radical cystectomy (RC) and chemotherapy in locally advanced muscle-invasive bladder cancer (LA-MIBC).</w:t>
      </w:r>
    </w:p>
    <w:p w14:paraId="358450C9" w14:textId="363C3E3B" w:rsidR="004C1C16" w:rsidRPr="00C433A3" w:rsidRDefault="004C1C16" w:rsidP="00182E5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C433A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t>Materials/Methods:</w:t>
      </w:r>
      <w:r w:rsidR="00182E58"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Patients with high-risk (T3-4, N1-3, R+) non-metastatic urothelial MIBC post-RC were randomized 1:1 to adjuvant RT or observation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Obs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), stratified by nodal stage (N0 vs N+) and chemotherapy (neoadjuvant/adjuvant/none). Cystectomy bed and pelvic nodes were treated with stoma-sparing RT to 50.4Gy in 28 fractions. Primary endpoint of 2-year locoregional failure-free survival (LRFS) and secondary endpoints of bladder cancer-specific survival (BCSS), disease-free survival (DFS), and overall survival (OS) were compared per protocol by log rank test. Competing risk analysis using Fine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Gray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model compared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subdistribution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hazard ratios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sHR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) for LRFS (competing risks: distant metastases and non-cancer death) and DFS (competing risk: non-cancer death) between the two arms.</w:t>
      </w:r>
    </w:p>
    <w:p w14:paraId="34DD43C2" w14:textId="5F3993B6" w:rsidR="004C1C16" w:rsidRPr="00C433A3" w:rsidRDefault="004C1C16" w:rsidP="00182E5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C433A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t>Results:</w:t>
      </w:r>
      <w:r w:rsidR="00182E58"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Total 153 patients were randomized from 2016 to 2024 (RT = 77,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Obs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= 76). Overall, 62% patients had pT3-T4 and 41% had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pN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+ disease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, 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and a variant histology component in 28% patients</w:t>
      </w:r>
      <w:r w:rsidRPr="00C433A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en-GB" w:eastAsia="cs-CZ"/>
          <w14:ligatures w14:val="none"/>
        </w:rPr>
        <w:t>.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 Chemotherapy was neoadjuvant for 71% and adjuvant for 20% patients. No patients received immunotherapy. In RT arm, 63 received planned RT and 14 (defaulted/refused RT = 8, pre-RT progression =4, RT deemed unfeasible = 2) were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analyzed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with the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Obs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group (n=90).</w:t>
      </w:r>
      <w:r w:rsidR="005A42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Over a median follow-up was 23 months (42 months for survivors), 37% patients had recurred, with 18% locoregional recurrences (RT 8% vs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Obs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26%, p=0.006). Two-year LRFS was 65.3% (RT) vs 57.4%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Obs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) (HR 0.74, 95% CI 0.46-1.19, p=0.22). Two-year DFS was 59.9% vs 52.8% (HR 0.74, 0.47-1.17, p=0.20), and BCSS was 77.6% vs 64.4% (HR 0.57, 0.31-1.07, p=0.07) respectively. RT showed significantly better LRFS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sHR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0.55, 0.31-0.97, p=0.04) and DFS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sHR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0.55, 0.32-0.95, p=0.03) in competing risk analysis. Overall, 45% patients died (31% due to disease, 14% other cause). Two-year OS was 68.1% (RT) vs 57.0%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Obs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) (HR 0.80, 0.49-1.30, p=0.4). There were no isolated locoregional recurrences in the RT arm, with 2-year locoregional control 91.2% (RT) vs 76.4%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Obs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) (HR 0.27, 0.10-0.71, p=0.004). Subgroup analysis showed significant benefit with RT in T3-T4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sHR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LRFS 0.40, DFS 0.42) and N+ disease (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sHR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LRFS 0.39, DFS 0.40). Late grade 3+ toxicity was similar (RT 8.5% RT vs </w:t>
      </w:r>
      <w:proofErr w:type="spellStart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Obs</w:t>
      </w:r>
      <w:proofErr w:type="spellEnd"/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 xml:space="preserve"> 10.5%, p=0.6).</w:t>
      </w:r>
    </w:p>
    <w:p w14:paraId="0BFC670F" w14:textId="3EE48588" w:rsidR="004C1C16" w:rsidRPr="00C433A3" w:rsidRDefault="004C1C16" w:rsidP="00182E5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</w:pPr>
      <w:r w:rsidRPr="00C433A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lastRenderedPageBreak/>
        <w:t>Conclusion:</w:t>
      </w:r>
      <w:r w:rsidR="005A421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cs-CZ"/>
          <w14:ligatures w14:val="none"/>
        </w:rPr>
        <w:t xml:space="preserve"> </w:t>
      </w:r>
      <w:r w:rsidRPr="00C433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cs-CZ"/>
          <w14:ligatures w14:val="none"/>
        </w:rPr>
        <w:t>Adjuvant RT improved LRFS and DFS without increased severe late toxicity in patients with LA-MIBC post cystectomy and chemotherapy. Potential benefit in OS is being explored in a planned individual patient data meta-analysis of randomized trials.</w:t>
      </w:r>
    </w:p>
    <w:sectPr w:rsidR="004C1C16" w:rsidRPr="00C43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16"/>
    <w:rsid w:val="000E7B86"/>
    <w:rsid w:val="00182E58"/>
    <w:rsid w:val="001B7BDC"/>
    <w:rsid w:val="003A3380"/>
    <w:rsid w:val="004C1C16"/>
    <w:rsid w:val="004D2A9D"/>
    <w:rsid w:val="005A4214"/>
    <w:rsid w:val="00605D17"/>
    <w:rsid w:val="00AD4441"/>
    <w:rsid w:val="00C433A3"/>
    <w:rsid w:val="00D636CA"/>
    <w:rsid w:val="00D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26E1"/>
  <w15:chartTrackingRefBased/>
  <w15:docId w15:val="{21B0E681-DDE5-F34F-8C38-FCEA52A5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C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1C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C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1C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1C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1C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1C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1C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1C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1C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1C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1C1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C1C1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C1C16"/>
  </w:style>
  <w:style w:type="paragraph" w:styleId="Normlnweb">
    <w:name w:val="Normal (Web)"/>
    <w:basedOn w:val="Normln"/>
    <w:uiPriority w:val="99"/>
    <w:semiHidden/>
    <w:unhideWhenUsed/>
    <w:rsid w:val="004C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ffiliation">
    <w:name w:val="affiliation"/>
    <w:basedOn w:val="Standardnpsmoodstavce"/>
    <w:rsid w:val="004C1C16"/>
  </w:style>
  <w:style w:type="character" w:styleId="Zdraznn">
    <w:name w:val="Emphasis"/>
    <w:basedOn w:val="Standardnpsmoodstavce"/>
    <w:uiPriority w:val="20"/>
    <w:qFormat/>
    <w:rsid w:val="004C1C16"/>
    <w:rPr>
      <w:i/>
      <w:iCs/>
    </w:rPr>
  </w:style>
  <w:style w:type="character" w:styleId="Siln">
    <w:name w:val="Strong"/>
    <w:basedOn w:val="Standardnpsmoodstavce"/>
    <w:uiPriority w:val="22"/>
    <w:qFormat/>
    <w:rsid w:val="004C1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287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3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53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7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Dolezel</dc:creator>
  <cp:keywords/>
  <dc:description/>
  <cp:lastModifiedBy>Vyroubalová Eva</cp:lastModifiedBy>
  <cp:revision>6</cp:revision>
  <dcterms:created xsi:type="dcterms:W3CDTF">2025-09-30T12:08:00Z</dcterms:created>
  <dcterms:modified xsi:type="dcterms:W3CDTF">2025-10-03T11:41:00Z</dcterms:modified>
</cp:coreProperties>
</file>