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D19F" w14:textId="4FD2E7CC" w:rsidR="00170E62" w:rsidRPr="00170E62" w:rsidRDefault="00170E62" w:rsidP="00170E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70E62">
        <w:rPr>
          <w:rFonts w:ascii="Times New Roman" w:hAnsi="Times New Roman" w:cs="Times New Roman"/>
          <w:b/>
          <w:bCs/>
          <w:sz w:val="28"/>
          <w:szCs w:val="28"/>
        </w:rPr>
        <w:t>Initial Results of NRG Oncology NRG-GI003: A Phase III Randomized Trial of Protons vs. Photons for Hepatocellular Carcinoma (HCC)</w:t>
      </w:r>
    </w:p>
    <w:p w14:paraId="2482EAE5" w14:textId="77777777" w:rsidR="00170E62" w:rsidRP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</w:p>
    <w:p w14:paraId="093A58C8" w14:textId="77777777" w:rsid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</w:pPr>
      <w:r w:rsidRPr="00170E62">
        <w:rPr>
          <w:rFonts w:ascii="Times New Roman" w:eastAsia="Times New Roman" w:hAnsi="Times New Roman" w:cs="Times New Roman"/>
          <w:color w:val="000000"/>
          <w:kern w:val="0"/>
          <w:u w:val="single"/>
          <w:lang w:eastAsia="cs-CZ"/>
          <w14:ligatures w14:val="none"/>
        </w:rPr>
        <w:t>T. S. Hong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1,2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K. Winter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3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E. J. Koay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4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Kilcoyne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Franses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6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A. Wolfgang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7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W. Sohn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8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L. A. Kachnic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9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D. G. Duda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10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Y. Wo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11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H. J. Roberts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5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E. B. Ludmir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S. S. Noticewala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12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R. Kharofa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13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J. K. Molitoris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14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P. R. Patel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15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A. Thompson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16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R. Kabarriti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17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K. L. Pitter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18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, and C. H. Crane</w:t>
      </w:r>
      <w:r w:rsidRPr="00170E62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cs-CZ"/>
          <w14:ligatures w14:val="none"/>
        </w:rPr>
        <w:t>19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;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Dana Farber Cancer Institute and Beth Israel Deaconess Medical Center, Boston, MA,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2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Dana-Farber Cancer Institute, Boston, MA,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3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NRG Oncology Statistics and Data Management Center, Philadelphia, PA,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4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Gastrointestinal Radiation Oncology, University of Texas MD Anderson Cancer Center, Houston, TX,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5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Massachusetts General Hospital, Boston, MA,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6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University of Chicago Comprehensive Cancer Center, Chicago, IL,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7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Massachusetts General Hospital, Harvard Medical School, Boston, MA,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8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Beth Israel Deaconess Medical Center, Boston, MA,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9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Columbia University Irving Medical Center, New York, NY,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10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Houston Methodist, Houston, TX,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11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Massachusetts General Hospital, Harvard Medical School, Boston, MA,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12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The University of Texas MD Anderson Cancer Center, Houston, TX,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13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University of Cincinnati Cancer Center, Cincinnati, OH,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14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University of Maryland School of Medicine, Baltimore, MD,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15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Winship Cancer Institute of Emory University, Atlanta, GA,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16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Corewell Health William Beaumont University Hospital, Royal Oak, MI,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17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Albert Einstein College of Medicine and Montefiore Medical Center, Bronx, NY,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18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Memorial Sloan Kettering Cancer Center, New York, NY, 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vertAlign w:val="superscript"/>
          <w:lang w:eastAsia="cs-CZ"/>
          <w14:ligatures w14:val="none"/>
        </w:rPr>
        <w:t>19</w:t>
      </w:r>
      <w:r w:rsidRPr="00170E62">
        <w:rPr>
          <w:rFonts w:ascii="Times New Roman" w:eastAsia="Times New Roman" w:hAnsi="Times New Roman" w:cs="Times New Roman"/>
          <w:i/>
          <w:iCs/>
          <w:color w:val="000000"/>
          <w:kern w:val="0"/>
          <w:lang w:eastAsia="cs-CZ"/>
          <w14:ligatures w14:val="none"/>
        </w:rPr>
        <w:t>Department of Radiation Oncology, Memorial Sloan Kettering Cancer Center, New York, NY</w:t>
      </w:r>
    </w:p>
    <w:p w14:paraId="585F3EAC" w14:textId="14B89BB6" w:rsid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  <w:r w:rsidRPr="00170E62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Purpose/Objective(s):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Protons may benefit patients with HCC due to favorable dose distributions and the ability to spare non-target liver. This study hypothesized that overall survival (OS) would improve with proton therapy vs photon therapy in patients with advanced HCC.</w:t>
      </w:r>
    </w:p>
    <w:p w14:paraId="1DF9C074" w14:textId="77777777" w:rsidR="00170E62" w:rsidRP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lang w:eastAsia="cs-CZ"/>
          <w14:ligatures w14:val="none"/>
        </w:rPr>
      </w:pPr>
    </w:p>
    <w:p w14:paraId="2943F1C4" w14:textId="46E8887B" w:rsid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170E62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Materials/Methods: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Eligible patients had pathologically or radiographically-proven unresectable or locally recurrent HCC, Zubrod performance status (PS) 0-1, Child-Pugh (CP) A or B7, 1-3 HCCs (1 HCC =15 cm, 2 HCC largest =10 cm, 3 HCC largest =6 cm) with tumor vascular thrombus (TVT) allowed if combined with a single lesion =1 cm and =15 cm. Patients were stratified by planned fractions (5 vs 15) and tumor vascular thrombosis (Yes vs No) and then randomized 1:1 to proton therapy or photon therapy given in 5 fractions (30-50 Gy) or 15 fractions (37.5-67.5 Gy) individualized based on liver-GTV mean dose. The primary endpoint was OS and secondary endpoints were progression-free survival (PFS), local progression (LP), and adverse events (AEs – CTCAEv4). An eligible sample size of 112 patients for 88 OS events provides 80% power with a 1-sided alpha=0.05 to detect the hypothesized OS hazard ratio (HR)=0.58 favoring protons, including 1 interim analysis at 63 OS events. OS was estimated by the Kaplan-Meier method and treatment arms were compared using a log-rank test.</w:t>
      </w:r>
    </w:p>
    <w:p w14:paraId="544710A0" w14:textId="77777777" w:rsidR="00170E62" w:rsidRP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lang w:eastAsia="cs-CZ"/>
          <w14:ligatures w14:val="none"/>
        </w:rPr>
      </w:pPr>
    </w:p>
    <w:p w14:paraId="19D3202F" w14:textId="6C6AC7DD" w:rsid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170E62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Results: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Of the 117 patients screened from June 2017 to January 2026, 116 patients were randomized and 115 eligible/analyzed: protons (n=57) and photons (n=58). Median age was 72; 93% had CP A cirrhosis; 75% had no prior treatment; 57% had single tumors, 17% 2 tumors, 3% 3 tumors, and 23% had TVT with a single lesion. At the planned interim analysis, the trial was released for reporting by the NRG Oncology Data Monitoring Committee based on the futility boundary being crossed (HR&gt;1). Median (min-max) follow-up was 20 months 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lastRenderedPageBreak/>
        <w:t>(0.13-81.7). Protons did not show an improvement in OS compared to photons (1-sided p=0.83, HR=1.30, 90% CI 0.83-2.04). Univariate 24-month OS (90% CIs) was 56.2% (43.9-68.4) for protons and 69.3% (57.3-81.2) for photons. Protons did not show an improvement in PFS (2-sided p=0.92, HR=1.02, 95% CI 0.65-1.62). The 24-month PFS (95% CIs) was 31.6% (17.8-45.4) for protons and 30.4% (15.9-44.8) for photons. Protons did not show a significant improvement in LP (2-sided p=0.54, HR=0.80, 95% CI 0.36-1.77). The 24-month LP (95% CIs) was 19.8% (9.6-32.7) for protons and 22.3% (11.3-35.5) for photons. Treatment-related grade 3+ AEs were lower for the protons arm, but not significantly different (protons 11%, photons 24%; p=0.09).</w:t>
      </w:r>
    </w:p>
    <w:p w14:paraId="020A0633" w14:textId="77777777" w:rsidR="00170E62" w:rsidRPr="00170E62" w:rsidRDefault="00170E62" w:rsidP="00170E6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0"/>
          <w:szCs w:val="10"/>
          <w:lang w:eastAsia="cs-CZ"/>
          <w14:ligatures w14:val="none"/>
        </w:rPr>
      </w:pPr>
    </w:p>
    <w:p w14:paraId="7BC77DD2" w14:textId="77777777" w:rsidR="004B65DF" w:rsidRDefault="00170E62" w:rsidP="00170E62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170E62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Conclusion: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 xml:space="preserve"> </w:t>
      </w: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Proton therapy did not improve OS, PFS, LP, or AEs in patients with advanced HCC. </w:t>
      </w:r>
    </w:p>
    <w:p w14:paraId="64F4783F" w14:textId="765025CF" w:rsidR="00170E62" w:rsidRPr="00170E62" w:rsidRDefault="00170E62" w:rsidP="00170E62">
      <w:pPr>
        <w:spacing w:after="225" w:line="240" w:lineRule="auto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170E62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Clinical Trial Number: NCT03186898</w:t>
      </w:r>
    </w:p>
    <w:sectPr w:rsidR="00170E62" w:rsidRPr="00170E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3A"/>
    <w:rsid w:val="00170E62"/>
    <w:rsid w:val="001B7BDC"/>
    <w:rsid w:val="001D060B"/>
    <w:rsid w:val="003A3380"/>
    <w:rsid w:val="004B65DF"/>
    <w:rsid w:val="00605D17"/>
    <w:rsid w:val="007A5C3A"/>
    <w:rsid w:val="00AD4441"/>
    <w:rsid w:val="00CF578A"/>
    <w:rsid w:val="00D6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D0DEB"/>
  <w15:chartTrackingRefBased/>
  <w15:docId w15:val="{D47D2C70-18E1-A846-AAA1-745D455A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7A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7A5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5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5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5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5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5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5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A5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5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5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5C3A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170E62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170E62"/>
  </w:style>
  <w:style w:type="paragraph" w:styleId="Normlnweb">
    <w:name w:val="Normal (Web)"/>
    <w:basedOn w:val="Normln"/>
    <w:uiPriority w:val="99"/>
    <w:semiHidden/>
    <w:unhideWhenUsed/>
    <w:rsid w:val="00170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ffiliation">
    <w:name w:val="affiliation"/>
    <w:basedOn w:val="Standardnpsmoodstavce"/>
    <w:rsid w:val="00170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697</Words>
  <Characters>4002</Characters>
  <Application>Microsoft Office Word</Application>
  <DocSecurity>0</DocSecurity>
  <Lines>63</Lines>
  <Paragraphs>7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Dolezel</dc:creator>
  <cp:keywords/>
  <dc:description/>
  <cp:lastModifiedBy>Martin Dolezel</cp:lastModifiedBy>
  <cp:revision>4</cp:revision>
  <dcterms:created xsi:type="dcterms:W3CDTF">2026-09-30T13:04:00Z</dcterms:created>
  <dcterms:modified xsi:type="dcterms:W3CDTF">2026-09-30T15:09:00Z</dcterms:modified>
</cp:coreProperties>
</file>