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446" w:rsidRDefault="009F13D1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  <w:r w:rsidRPr="009F13D1">
        <w:rPr>
          <w:rFonts w:ascii="Times New Roman" w:hAnsi="Times New Roman" w:cs="Times New Roman"/>
          <w:b/>
          <w:szCs w:val="20"/>
        </w:rPr>
        <w:t xml:space="preserve">PACIFIC: </w:t>
      </w:r>
      <w:proofErr w:type="spellStart"/>
      <w:r w:rsidRPr="009F13D1">
        <w:rPr>
          <w:rFonts w:ascii="Times New Roman" w:hAnsi="Times New Roman" w:cs="Times New Roman"/>
          <w:b/>
          <w:szCs w:val="20"/>
        </w:rPr>
        <w:t>Overall</w:t>
      </w:r>
      <w:proofErr w:type="spellEnd"/>
      <w:r w:rsidRPr="009F13D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F13D1">
        <w:rPr>
          <w:rFonts w:ascii="Times New Roman" w:hAnsi="Times New Roman" w:cs="Times New Roman"/>
          <w:b/>
          <w:szCs w:val="20"/>
        </w:rPr>
        <w:t>Survival</w:t>
      </w:r>
      <w:proofErr w:type="spellEnd"/>
      <w:r w:rsidRPr="009F13D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F13D1">
        <w:rPr>
          <w:rFonts w:ascii="Times New Roman" w:hAnsi="Times New Roman" w:cs="Times New Roman"/>
          <w:b/>
          <w:szCs w:val="20"/>
        </w:rPr>
        <w:t>with</w:t>
      </w:r>
      <w:proofErr w:type="spellEnd"/>
      <w:r w:rsidRPr="009F13D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F13D1">
        <w:rPr>
          <w:rFonts w:ascii="Times New Roman" w:hAnsi="Times New Roman" w:cs="Times New Roman"/>
          <w:b/>
          <w:szCs w:val="20"/>
        </w:rPr>
        <w:t>Durvalumab</w:t>
      </w:r>
      <w:proofErr w:type="spellEnd"/>
      <w:r w:rsidRPr="009F13D1">
        <w:rPr>
          <w:rFonts w:ascii="Times New Roman" w:hAnsi="Times New Roman" w:cs="Times New Roman"/>
          <w:b/>
          <w:szCs w:val="20"/>
        </w:rPr>
        <w:t xml:space="preserve"> versus Placebo</w:t>
      </w:r>
      <w:r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F13D1">
        <w:rPr>
          <w:rFonts w:ascii="Times New Roman" w:hAnsi="Times New Roman" w:cs="Times New Roman"/>
          <w:b/>
          <w:szCs w:val="20"/>
        </w:rPr>
        <w:t>after</w:t>
      </w:r>
      <w:proofErr w:type="spellEnd"/>
      <w:r w:rsidRPr="009F13D1">
        <w:rPr>
          <w:rFonts w:ascii="Times New Roman" w:hAnsi="Times New Roman" w:cs="Times New Roman"/>
          <w:b/>
          <w:szCs w:val="20"/>
        </w:rPr>
        <w:t xml:space="preserve"> </w:t>
      </w:r>
      <w:proofErr w:type="spellStart"/>
      <w:r w:rsidRPr="009F13D1">
        <w:rPr>
          <w:rFonts w:ascii="Times New Roman" w:hAnsi="Times New Roman" w:cs="Times New Roman"/>
          <w:b/>
          <w:szCs w:val="20"/>
        </w:rPr>
        <w:t>Chemoradiotherapy</w:t>
      </w:r>
      <w:proofErr w:type="spellEnd"/>
      <w:r w:rsidRPr="009F13D1">
        <w:rPr>
          <w:rFonts w:ascii="Times New Roman" w:hAnsi="Times New Roman" w:cs="Times New Roman"/>
          <w:b/>
          <w:szCs w:val="20"/>
        </w:rPr>
        <w:t xml:space="preserve"> in </w:t>
      </w:r>
      <w:proofErr w:type="spellStart"/>
      <w:r w:rsidRPr="009F13D1">
        <w:rPr>
          <w:rFonts w:ascii="Times New Roman" w:hAnsi="Times New Roman" w:cs="Times New Roman"/>
          <w:b/>
          <w:szCs w:val="20"/>
        </w:rPr>
        <w:t>Stage</w:t>
      </w:r>
      <w:proofErr w:type="spellEnd"/>
      <w:r w:rsidRPr="009F13D1">
        <w:rPr>
          <w:rFonts w:ascii="Times New Roman" w:hAnsi="Times New Roman" w:cs="Times New Roman"/>
          <w:b/>
          <w:szCs w:val="20"/>
        </w:rPr>
        <w:t xml:space="preserve"> III NSCLC</w:t>
      </w:r>
    </w:p>
    <w:p w:rsidR="009F13D1" w:rsidRPr="000E0DAF" w:rsidRDefault="009F13D1" w:rsidP="009F13D1">
      <w:pPr>
        <w:spacing w:line="360" w:lineRule="auto"/>
        <w:rPr>
          <w:rFonts w:ascii="Times New Roman" w:hAnsi="Times New Roman" w:cs="Times New Roman"/>
          <w:b/>
          <w:szCs w:val="20"/>
        </w:rPr>
      </w:pPr>
    </w:p>
    <w:p w:rsidR="00365446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95D5C">
        <w:rPr>
          <w:rFonts w:ascii="Times New Roman" w:hAnsi="Times New Roman" w:cs="Times New Roman"/>
          <w:sz w:val="20"/>
          <w:szCs w:val="20"/>
        </w:rPr>
        <w:t>D. Raben,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195D5C">
        <w:rPr>
          <w:rFonts w:ascii="Times New Roman" w:hAnsi="Times New Roman" w:cs="Times New Roman"/>
          <w:sz w:val="20"/>
          <w:szCs w:val="20"/>
        </w:rPr>
        <w:t xml:space="preserve"> C. Faivre-Finn,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2</w:t>
      </w:r>
      <w:r w:rsidRPr="00195D5C">
        <w:rPr>
          <w:rFonts w:ascii="Times New Roman" w:hAnsi="Times New Roman" w:cs="Times New Roman"/>
          <w:sz w:val="20"/>
          <w:szCs w:val="20"/>
        </w:rPr>
        <w:t xml:space="preserve"> D. Spigel,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3</w:t>
      </w:r>
      <w:r w:rsidRPr="00195D5C">
        <w:rPr>
          <w:rFonts w:ascii="Times New Roman" w:hAnsi="Times New Roman" w:cs="Times New Roman"/>
          <w:sz w:val="20"/>
          <w:szCs w:val="20"/>
        </w:rPr>
        <w:t xml:space="preserve"> D. Daniel,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3,4</w:t>
      </w:r>
      <w:r w:rsidRPr="00195D5C">
        <w:rPr>
          <w:rFonts w:ascii="Times New Roman" w:hAnsi="Times New Roman" w:cs="Times New Roman"/>
          <w:sz w:val="20"/>
          <w:szCs w:val="20"/>
        </w:rPr>
        <w:t xml:space="preserve"> A. Villegas,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5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>D. Vincente,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6</w:t>
      </w:r>
      <w:r w:rsidRPr="00195D5C">
        <w:rPr>
          <w:rFonts w:ascii="Times New Roman" w:hAnsi="Times New Roman" w:cs="Times New Roman"/>
          <w:sz w:val="20"/>
          <w:szCs w:val="20"/>
        </w:rPr>
        <w:t xml:space="preserve"> R. Hui,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7</w:t>
      </w:r>
      <w:r w:rsidRPr="00195D5C">
        <w:rPr>
          <w:rFonts w:ascii="Times New Roman" w:hAnsi="Times New Roman" w:cs="Times New Roman"/>
          <w:sz w:val="20"/>
          <w:szCs w:val="20"/>
        </w:rPr>
        <w:t xml:space="preserve"> J. de Castro Carpeno,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8</w:t>
      </w:r>
      <w:r w:rsidRPr="00195D5C">
        <w:rPr>
          <w:rFonts w:ascii="Times New Roman" w:hAnsi="Times New Roman" w:cs="Times New Roman"/>
          <w:sz w:val="20"/>
          <w:szCs w:val="20"/>
        </w:rPr>
        <w:t xml:space="preserve"> S. Murakami,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9</w:t>
      </w:r>
      <w:r w:rsidRPr="00195D5C">
        <w:rPr>
          <w:rFonts w:ascii="Times New Roman" w:hAnsi="Times New Roman" w:cs="Times New Roman"/>
          <w:sz w:val="20"/>
          <w:szCs w:val="20"/>
        </w:rPr>
        <w:t xml:space="preserve"> L. Paz-Ares,</w:t>
      </w:r>
      <w:r w:rsidRPr="00195D5C">
        <w:rPr>
          <w:rFonts w:ascii="Times New Roman" w:hAnsi="Times New Roman" w:cs="Times New Roman"/>
          <w:sz w:val="20"/>
          <w:szCs w:val="20"/>
          <w:vertAlign w:val="superscript"/>
        </w:rPr>
        <w:t>10</w:t>
      </w:r>
      <w:r w:rsidRPr="00195D5C">
        <w:rPr>
          <w:rFonts w:ascii="Times New Roman" w:hAnsi="Times New Roman" w:cs="Times New Roman"/>
          <w:sz w:val="20"/>
          <w:szCs w:val="20"/>
        </w:rPr>
        <w:t xml:space="preserve"> M. </w:t>
      </w:r>
      <w:r w:rsidR="00081DEE">
        <w:rPr>
          <w:rFonts w:ascii="Times New Roman" w:hAnsi="Times New Roman" w:cs="Times New Roman"/>
          <w:sz w:val="20"/>
          <w:szCs w:val="20"/>
        </w:rPr>
        <w:t>Ö</w:t>
      </w:r>
      <w:r w:rsidRPr="00195D5C">
        <w:rPr>
          <w:rFonts w:ascii="Times New Roman" w:hAnsi="Times New Roman" w:cs="Times New Roman"/>
          <w:sz w:val="20"/>
          <w:szCs w:val="20"/>
        </w:rPr>
        <w:t>zg</w:t>
      </w:r>
      <w:r w:rsidR="00081DEE">
        <w:rPr>
          <w:rFonts w:ascii="Times New Roman" w:hAnsi="Times New Roman" w:cs="Times New Roman"/>
          <w:sz w:val="20"/>
          <w:szCs w:val="20"/>
        </w:rPr>
        <w:t>ü</w:t>
      </w:r>
      <w:r w:rsidRPr="00195D5C">
        <w:rPr>
          <w:rFonts w:ascii="Times New Roman" w:hAnsi="Times New Roman" w:cs="Times New Roman"/>
          <w:sz w:val="20"/>
          <w:szCs w:val="20"/>
        </w:rPr>
        <w:t>ro</w:t>
      </w:r>
      <w:r w:rsidR="00081DEE">
        <w:rPr>
          <w:rFonts w:ascii="Times New Roman" w:hAnsi="Times New Roman" w:cs="Times New Roman"/>
          <w:sz w:val="20"/>
          <w:szCs w:val="20"/>
        </w:rPr>
        <w:t>ḡ</w:t>
      </w:r>
      <w:r w:rsidRPr="00195D5C">
        <w:rPr>
          <w:rFonts w:ascii="Times New Roman" w:hAnsi="Times New Roman" w:cs="Times New Roman"/>
          <w:sz w:val="20"/>
          <w:szCs w:val="20"/>
        </w:rPr>
        <w:t>lu,</w:t>
      </w:r>
      <w:r w:rsidRPr="00081DEE">
        <w:rPr>
          <w:rFonts w:ascii="Times New Roman" w:hAnsi="Times New Roman" w:cs="Times New Roman"/>
          <w:sz w:val="20"/>
          <w:szCs w:val="20"/>
          <w:vertAlign w:val="superscript"/>
        </w:rPr>
        <w:t>11</w:t>
      </w:r>
      <w:r w:rsidRPr="00195D5C">
        <w:rPr>
          <w:rFonts w:ascii="Times New Roman" w:hAnsi="Times New Roman" w:cs="Times New Roman"/>
          <w:sz w:val="20"/>
          <w:szCs w:val="20"/>
        </w:rPr>
        <w:t xml:space="preserve"> T. Kurata,</w:t>
      </w:r>
      <w:r w:rsidRPr="00081DEE">
        <w:rPr>
          <w:rFonts w:ascii="Times New Roman" w:hAnsi="Times New Roman" w:cs="Times New Roman"/>
          <w:sz w:val="20"/>
          <w:szCs w:val="20"/>
          <w:vertAlign w:val="superscript"/>
        </w:rPr>
        <w:t>12</w:t>
      </w:r>
      <w:r w:rsidRPr="00195D5C">
        <w:rPr>
          <w:rFonts w:ascii="Times New Roman" w:hAnsi="Times New Roman" w:cs="Times New Roman"/>
          <w:sz w:val="20"/>
          <w:szCs w:val="20"/>
        </w:rPr>
        <w:t xml:space="preserve"> A. Chiappori,</w:t>
      </w:r>
      <w:r w:rsidRPr="00081DEE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195D5C">
        <w:rPr>
          <w:rFonts w:ascii="Times New Roman" w:hAnsi="Times New Roman" w:cs="Times New Roman"/>
          <w:sz w:val="20"/>
          <w:szCs w:val="20"/>
        </w:rPr>
        <w:t>K.H.</w:t>
      </w:r>
      <w:proofErr w:type="gramEnd"/>
      <w:r w:rsidRPr="00195D5C">
        <w:rPr>
          <w:rFonts w:ascii="Times New Roman" w:hAnsi="Times New Roman" w:cs="Times New Roman"/>
          <w:sz w:val="20"/>
          <w:szCs w:val="20"/>
        </w:rPr>
        <w:t xml:space="preserve"> Lee,</w:t>
      </w:r>
      <w:r w:rsidRPr="00081DEE">
        <w:rPr>
          <w:rFonts w:ascii="Times New Roman" w:hAnsi="Times New Roman" w:cs="Times New Roman"/>
          <w:sz w:val="20"/>
          <w:szCs w:val="20"/>
          <w:vertAlign w:val="superscript"/>
        </w:rPr>
        <w:t>14</w:t>
      </w:r>
      <w:r w:rsidRPr="00195D5C">
        <w:rPr>
          <w:rFonts w:ascii="Times New Roman" w:hAnsi="Times New Roman" w:cs="Times New Roman"/>
          <w:sz w:val="20"/>
          <w:szCs w:val="20"/>
        </w:rPr>
        <w:t xml:space="preserve"> M. de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>Wit,</w:t>
      </w:r>
      <w:r w:rsidRPr="00081DEE">
        <w:rPr>
          <w:rFonts w:ascii="Times New Roman" w:hAnsi="Times New Roman" w:cs="Times New Roman"/>
          <w:sz w:val="20"/>
          <w:szCs w:val="20"/>
          <w:vertAlign w:val="superscript"/>
        </w:rPr>
        <w:t>15</w:t>
      </w:r>
      <w:r w:rsidRPr="00195D5C">
        <w:rPr>
          <w:rFonts w:ascii="Times New Roman" w:hAnsi="Times New Roman" w:cs="Times New Roman"/>
          <w:sz w:val="20"/>
          <w:szCs w:val="20"/>
        </w:rPr>
        <w:t xml:space="preserve"> L. Poole,</w:t>
      </w:r>
      <w:r w:rsidRPr="00081DEE">
        <w:rPr>
          <w:rFonts w:ascii="Times New Roman" w:hAnsi="Times New Roman" w:cs="Times New Roman"/>
          <w:sz w:val="20"/>
          <w:szCs w:val="20"/>
          <w:vertAlign w:val="superscript"/>
        </w:rPr>
        <w:t>16</w:t>
      </w:r>
      <w:r w:rsidRPr="00195D5C">
        <w:rPr>
          <w:rFonts w:ascii="Times New Roman" w:hAnsi="Times New Roman" w:cs="Times New Roman"/>
          <w:sz w:val="20"/>
          <w:szCs w:val="20"/>
        </w:rPr>
        <w:t xml:space="preserve"> C. Wadsworth,</w:t>
      </w:r>
      <w:r w:rsidRPr="00081DEE">
        <w:rPr>
          <w:rFonts w:ascii="Times New Roman" w:hAnsi="Times New Roman" w:cs="Times New Roman"/>
          <w:sz w:val="20"/>
          <w:szCs w:val="20"/>
          <w:vertAlign w:val="superscript"/>
        </w:rPr>
        <w:t>17</w:t>
      </w:r>
      <w:r w:rsidRPr="00195D5C">
        <w:rPr>
          <w:rFonts w:ascii="Times New Roman" w:hAnsi="Times New Roman" w:cs="Times New Roman"/>
          <w:sz w:val="20"/>
          <w:szCs w:val="20"/>
        </w:rPr>
        <w:t xml:space="preserve"> P.A. Dennis,</w:t>
      </w:r>
      <w:r w:rsidRPr="00081DEE">
        <w:rPr>
          <w:rFonts w:ascii="Times New Roman" w:hAnsi="Times New Roman" w:cs="Times New Roman"/>
          <w:sz w:val="20"/>
          <w:szCs w:val="20"/>
          <w:vertAlign w:val="superscript"/>
        </w:rPr>
        <w:t>18</w:t>
      </w:r>
      <w:r w:rsidRPr="00195D5C">
        <w:rPr>
          <w:rFonts w:ascii="Times New Roman" w:hAnsi="Times New Roman" w:cs="Times New Roman"/>
          <w:sz w:val="20"/>
          <w:szCs w:val="20"/>
        </w:rPr>
        <w:t xml:space="preserve"> and S.J. Antonia</w:t>
      </w:r>
      <w:r w:rsidRPr="00081DEE">
        <w:rPr>
          <w:rFonts w:ascii="Times New Roman" w:hAnsi="Times New Roman" w:cs="Times New Roman"/>
          <w:sz w:val="20"/>
          <w:szCs w:val="20"/>
          <w:vertAlign w:val="superscript"/>
        </w:rPr>
        <w:t>13</w:t>
      </w:r>
      <w:r w:rsidRPr="00195D5C">
        <w:rPr>
          <w:rFonts w:ascii="Times New Roman" w:hAnsi="Times New Roman" w:cs="Times New Roman"/>
          <w:sz w:val="20"/>
          <w:szCs w:val="20"/>
        </w:rPr>
        <w:t>;</w:t>
      </w:r>
    </w:p>
    <w:p w:rsidR="00195D5C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:rsidR="00195D5C" w:rsidRPr="00195D5C" w:rsidRDefault="00195D5C" w:rsidP="00195D5C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Colorado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Center, Aurora, CO,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2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Division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Sciences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University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Manchester, Manchester, United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Kingdom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3</w:t>
      </w:r>
      <w:r w:rsidRPr="00195D5C">
        <w:rPr>
          <w:rFonts w:ascii="Times New Roman" w:hAnsi="Times New Roman" w:cs="Times New Roman"/>
          <w:i/>
          <w:sz w:val="20"/>
          <w:szCs w:val="20"/>
        </w:rPr>
        <w:t>Sarah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Cannon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Institute,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Nashville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TN,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4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Tennessee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Oncology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Chattanooga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TN,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5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Cancer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Specialists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North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Florida, Jacksonville, FL,</w:t>
      </w:r>
    </w:p>
    <w:p w:rsidR="00365446" w:rsidRDefault="00195D5C" w:rsidP="00195D5C">
      <w:pPr>
        <w:spacing w:line="360" w:lineRule="auto"/>
        <w:rPr>
          <w:rFonts w:ascii="Times New Roman" w:hAnsi="Times New Roman" w:cs="Times New Roman"/>
          <w:i/>
          <w:sz w:val="20"/>
          <w:szCs w:val="20"/>
        </w:rPr>
      </w:pP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6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Hospital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Universitario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Virgen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Macarena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Sevilla,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Spain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7</w:t>
      </w:r>
      <w:r w:rsidRPr="00195D5C">
        <w:rPr>
          <w:rFonts w:ascii="Times New Roman" w:hAnsi="Times New Roman" w:cs="Times New Roman"/>
          <w:i/>
          <w:sz w:val="20"/>
          <w:szCs w:val="20"/>
        </w:rPr>
        <w:t>Westmead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and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the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Sydney, Sydney,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Australia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8</w:t>
      </w:r>
      <w:r w:rsidRPr="00195D5C">
        <w:rPr>
          <w:rFonts w:ascii="Times New Roman" w:hAnsi="Times New Roman" w:cs="Times New Roman"/>
          <w:i/>
          <w:sz w:val="20"/>
          <w:szCs w:val="20"/>
        </w:rPr>
        <w:t>Hospital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Universitario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La Paz, Madrid,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Spain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9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Kanagawa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Center,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Yokohama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Japan,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10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Hospital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Universitario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12 de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Octubre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CiberOnc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Universidad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Complutense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and CNIO, Madrid,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Spain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11</w:t>
      </w:r>
      <w:r w:rsidRPr="00195D5C">
        <w:rPr>
          <w:rFonts w:ascii="Times New Roman" w:hAnsi="Times New Roman" w:cs="Times New Roman"/>
          <w:i/>
          <w:sz w:val="20"/>
          <w:szCs w:val="20"/>
        </w:rPr>
        <w:t>Istanbul University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397807">
        <w:rPr>
          <w:rFonts w:ascii="Times New Roman" w:hAnsi="Times New Roman" w:cs="Times New Roman"/>
          <w:i/>
          <w:sz w:val="20"/>
          <w:szCs w:val="20"/>
        </w:rPr>
        <w:t>-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Cerrahpasa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Cerrahpasa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School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Istanbul,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Turkey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12</w:t>
      </w:r>
      <w:r w:rsidRPr="00195D5C">
        <w:rPr>
          <w:rFonts w:ascii="Times New Roman" w:hAnsi="Times New Roman" w:cs="Times New Roman"/>
          <w:i/>
          <w:sz w:val="20"/>
          <w:szCs w:val="20"/>
        </w:rPr>
        <w:t>Kansai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Medical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Hirakata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Japan,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13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H.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Lee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Moffitt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Cancer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Center and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Research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Institute, Tampa, FL,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14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Chungbuk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National</w:t>
      </w:r>
      <w:proofErr w:type="spellEnd"/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University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Hospital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Chungbuk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National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University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College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Medicine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Cheongju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Korea, Republic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(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South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),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15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Vivantes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Klinikum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Neukoelln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Berlin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Germany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16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AstraZeneca, Cambridge, United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Kingdom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>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17</w:t>
      </w:r>
      <w:r w:rsidRPr="00195D5C">
        <w:rPr>
          <w:rFonts w:ascii="Times New Roman" w:hAnsi="Times New Roman" w:cs="Times New Roman"/>
          <w:i/>
          <w:sz w:val="20"/>
          <w:szCs w:val="20"/>
        </w:rPr>
        <w:t xml:space="preserve">AstraZeneca,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Alderley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 Park, United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Kingdom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 xml:space="preserve">, </w:t>
      </w:r>
      <w:r w:rsidRPr="00397807">
        <w:rPr>
          <w:rFonts w:ascii="Times New Roman" w:hAnsi="Times New Roman" w:cs="Times New Roman"/>
          <w:i/>
          <w:sz w:val="20"/>
          <w:szCs w:val="20"/>
          <w:vertAlign w:val="superscript"/>
        </w:rPr>
        <w:t>18</w:t>
      </w:r>
      <w:r w:rsidRPr="00195D5C">
        <w:rPr>
          <w:rFonts w:ascii="Times New Roman" w:hAnsi="Times New Roman" w:cs="Times New Roman"/>
          <w:i/>
          <w:sz w:val="20"/>
          <w:szCs w:val="20"/>
        </w:rPr>
        <w:t>AstraZeneca,</w:t>
      </w:r>
      <w:r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i/>
          <w:sz w:val="20"/>
          <w:szCs w:val="20"/>
        </w:rPr>
        <w:t>Gaithersburg</w:t>
      </w:r>
      <w:proofErr w:type="spellEnd"/>
      <w:r w:rsidRPr="00195D5C">
        <w:rPr>
          <w:rFonts w:ascii="Times New Roman" w:hAnsi="Times New Roman" w:cs="Times New Roman"/>
          <w:i/>
          <w:sz w:val="20"/>
          <w:szCs w:val="20"/>
        </w:rPr>
        <w:t>, MD</w:t>
      </w:r>
    </w:p>
    <w:p w:rsidR="00195D5C" w:rsidRPr="00195D5C" w:rsidRDefault="00195D5C" w:rsidP="00195D5C">
      <w:pPr>
        <w:spacing w:line="360" w:lineRule="auto"/>
        <w:rPr>
          <w:rFonts w:ascii="Times New Roman" w:hAnsi="Times New Roman" w:cs="Times New Roman"/>
          <w:b/>
          <w:sz w:val="20"/>
          <w:szCs w:val="20"/>
        </w:rPr>
      </w:pPr>
    </w:p>
    <w:p w:rsidR="00195D5C" w:rsidRPr="00195D5C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Purpose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Objective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(s):</w:t>
      </w:r>
      <w:r w:rsidRPr="00195D5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global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Phase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3 PACIFIC study (Antonia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 xml:space="preserve">2017; NCT02125461),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progressionfree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(PFS) versus placebo in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Stage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III,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unresectable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NSCLC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without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concurrent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chemoradiotherapy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>(</w:t>
      </w:r>
      <w:proofErr w:type="gramStart"/>
      <w:r w:rsidRPr="00195D5C">
        <w:rPr>
          <w:rFonts w:ascii="Times New Roman" w:hAnsi="Times New Roman" w:cs="Times New Roman"/>
          <w:sz w:val="20"/>
          <w:szCs w:val="20"/>
        </w:rPr>
        <w:t>CRT)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proofErr w:type="gramEnd"/>
      <w:r w:rsidRPr="00195D5C">
        <w:rPr>
          <w:rFonts w:ascii="Times New Roman" w:hAnsi="Times New Roman" w:cs="Times New Roman"/>
          <w:sz w:val="20"/>
          <w:szCs w:val="20"/>
        </w:rPr>
        <w:t xml:space="preserve"> HR, 0.52; 95% CI, 0.42</w:t>
      </w:r>
      <w:r w:rsidR="00397807">
        <w:rPr>
          <w:rFonts w:ascii="Times New Roman" w:hAnsi="Times New Roman" w:cs="Times New Roman"/>
          <w:sz w:val="20"/>
          <w:szCs w:val="20"/>
        </w:rPr>
        <w:t>-</w:t>
      </w:r>
      <w:r w:rsidRPr="00195D5C">
        <w:rPr>
          <w:rFonts w:ascii="Times New Roman" w:hAnsi="Times New Roman" w:cs="Times New Roman"/>
          <w:sz w:val="20"/>
          <w:szCs w:val="20"/>
        </w:rPr>
        <w:t xml:space="preserve">0.65; P&lt;0.001).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was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major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advance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in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disease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setting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many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years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Here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 xml:space="preserve">report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second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endpoint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(OS)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for</w:t>
      </w:r>
      <w:proofErr w:type="spellEnd"/>
    </w:p>
    <w:p w:rsidR="00195D5C" w:rsidRPr="00195D5C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95D5C">
        <w:rPr>
          <w:rFonts w:ascii="Times New Roman" w:hAnsi="Times New Roman" w:cs="Times New Roman"/>
          <w:sz w:val="20"/>
          <w:szCs w:val="20"/>
        </w:rPr>
        <w:t>PACIFIC.</w:t>
      </w:r>
    </w:p>
    <w:p w:rsidR="00397807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Materials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/</w:t>
      </w: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Methods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PD-L1 tumor status)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WHO PS 0/1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who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r w:rsidR="00397807">
        <w:rPr>
          <w:rFonts w:ascii="Times New Roman" w:hAnsi="Times New Roman" w:cs="Times New Roman"/>
          <w:sz w:val="20"/>
          <w:szCs w:val="20"/>
        </w:rPr>
        <w:t>≥</w:t>
      </w:r>
      <w:r w:rsidRPr="00195D5C">
        <w:rPr>
          <w:rFonts w:ascii="Times New Roman" w:hAnsi="Times New Roman" w:cs="Times New Roman"/>
          <w:sz w:val="20"/>
          <w:szCs w:val="20"/>
        </w:rPr>
        <w:t xml:space="preserve">2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cycles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platinum-based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CRT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(2:1)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>1</w:t>
      </w:r>
      <w:r w:rsidR="00397807">
        <w:rPr>
          <w:rFonts w:ascii="Times New Roman" w:hAnsi="Times New Roman" w:cs="Times New Roman"/>
          <w:sz w:val="20"/>
          <w:szCs w:val="20"/>
        </w:rPr>
        <w:t>-</w:t>
      </w:r>
      <w:r w:rsidRPr="00195D5C">
        <w:rPr>
          <w:rFonts w:ascii="Times New Roman" w:hAnsi="Times New Roman" w:cs="Times New Roman"/>
          <w:sz w:val="20"/>
          <w:szCs w:val="20"/>
        </w:rPr>
        <w:t xml:space="preserve">42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days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post-CRT to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10 mg/kg IV Q2Wor placebo up to 12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by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age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, sex, and smoking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history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Primary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endpoints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PFS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randomization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blinded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independent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central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review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 xml:space="preserve">RECIST v1.1) and OS (interim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analysis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reported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).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Secondary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endpoints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included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distant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metastasis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(TTDM) and PFS2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to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 xml:space="preserve">second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progression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)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from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randomization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safety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Time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/second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subsequent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or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death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(TFST/TSST)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supportive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assessments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PFS/PFS2.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195D5C" w:rsidRPr="00195D5C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397807">
        <w:rPr>
          <w:rFonts w:ascii="Times New Roman" w:hAnsi="Times New Roman" w:cs="Times New Roman"/>
          <w:b/>
          <w:sz w:val="20"/>
          <w:szCs w:val="20"/>
        </w:rPr>
        <w:t>Results</w:t>
      </w:r>
      <w:proofErr w:type="spellEnd"/>
      <w:r w:rsidRPr="00397807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Between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May 2014 and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April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2016, 713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patients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randomized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;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 xml:space="preserve">709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, n</w:t>
      </w:r>
      <w:r w:rsidR="00397807">
        <w:rPr>
          <w:rFonts w:ascii="Times New Roman" w:hAnsi="Times New Roman" w:cs="Times New Roman"/>
          <w:sz w:val="20"/>
          <w:szCs w:val="20"/>
        </w:rPr>
        <w:t>=</w:t>
      </w:r>
      <w:r w:rsidRPr="00195D5C">
        <w:rPr>
          <w:rFonts w:ascii="Times New Roman" w:hAnsi="Times New Roman" w:cs="Times New Roman"/>
          <w:sz w:val="20"/>
          <w:szCs w:val="20"/>
        </w:rPr>
        <w:t>473; placebo,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>n</w:t>
      </w:r>
      <w:r w:rsidR="00397807">
        <w:rPr>
          <w:rFonts w:ascii="Times New Roman" w:hAnsi="Times New Roman" w:cs="Times New Roman"/>
          <w:sz w:val="20"/>
          <w:szCs w:val="20"/>
        </w:rPr>
        <w:t>=</w:t>
      </w:r>
      <w:r w:rsidRPr="00195D5C">
        <w:rPr>
          <w:rFonts w:ascii="Times New Roman" w:hAnsi="Times New Roman" w:cs="Times New Roman"/>
          <w:sz w:val="20"/>
          <w:szCs w:val="20"/>
        </w:rPr>
        <w:t xml:space="preserve">236). As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March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22, 2018 (data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cutoff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),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follow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-up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duration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was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25.2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range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, 0.2</w:t>
      </w:r>
      <w:r w:rsidR="00397807">
        <w:rPr>
          <w:rFonts w:ascii="Times New Roman" w:hAnsi="Times New Roman" w:cs="Times New Roman"/>
          <w:sz w:val="20"/>
          <w:szCs w:val="20"/>
        </w:rPr>
        <w:t>-</w:t>
      </w:r>
      <w:r w:rsidRPr="00195D5C">
        <w:rPr>
          <w:rFonts w:ascii="Times New Roman" w:hAnsi="Times New Roman" w:cs="Times New Roman"/>
          <w:sz w:val="20"/>
          <w:szCs w:val="20"/>
        </w:rPr>
        <w:t xml:space="preserve">43.1).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After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discontinuation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, 41.0% and</w:t>
      </w:r>
      <w:r w:rsidRPr="00195D5C"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 xml:space="preserve">54.0% in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and placebo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subsequent</w:t>
      </w:r>
      <w:proofErr w:type="spellEnd"/>
      <w:r w:rsidR="004668FA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anticancer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therapy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overall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, 8.0% and 22.4%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received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additional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immunotherapy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significantly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OS versus placebo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>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HR 0.68, 99.73% CI, 0.469</w:t>
      </w:r>
      <w:r w:rsidR="004668FA">
        <w:rPr>
          <w:rFonts w:ascii="Times New Roman" w:hAnsi="Times New Roman" w:cs="Times New Roman"/>
          <w:sz w:val="20"/>
          <w:szCs w:val="20"/>
        </w:rPr>
        <w:t>-</w:t>
      </w:r>
      <w:r w:rsidRPr="00195D5C">
        <w:rPr>
          <w:rFonts w:ascii="Times New Roman" w:hAnsi="Times New Roman" w:cs="Times New Roman"/>
          <w:sz w:val="20"/>
          <w:szCs w:val="20"/>
        </w:rPr>
        <w:t>0.997; P</w:t>
      </w:r>
      <w:r w:rsidR="004668FA">
        <w:rPr>
          <w:rFonts w:ascii="Times New Roman" w:hAnsi="Times New Roman" w:cs="Times New Roman"/>
          <w:sz w:val="20"/>
          <w:szCs w:val="20"/>
        </w:rPr>
        <w:t>=</w:t>
      </w:r>
      <w:r w:rsidRPr="00195D5C">
        <w:rPr>
          <w:rFonts w:ascii="Times New Roman" w:hAnsi="Times New Roman" w:cs="Times New Roman"/>
          <w:sz w:val="20"/>
          <w:szCs w:val="20"/>
        </w:rPr>
        <w:t xml:space="preserve">0.00251),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median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not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reached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(NR; 95% CI, 34.7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="004668FA">
        <w:rPr>
          <w:rFonts w:ascii="Times New Roman" w:hAnsi="Times New Roman" w:cs="Times New Roman"/>
          <w:sz w:val="20"/>
          <w:szCs w:val="20"/>
        </w:rPr>
        <w:t>-</w:t>
      </w:r>
      <w:r w:rsidRPr="00195D5C">
        <w:rPr>
          <w:rFonts w:ascii="Times New Roman" w:hAnsi="Times New Roman" w:cs="Times New Roman"/>
          <w:sz w:val="20"/>
          <w:szCs w:val="20"/>
        </w:rPr>
        <w:t xml:space="preserve">NR) and 28.7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>(95% CI, 22.9</w:t>
      </w:r>
      <w:r w:rsidR="004668FA">
        <w:rPr>
          <w:rFonts w:ascii="Times New Roman" w:hAnsi="Times New Roman" w:cs="Times New Roman"/>
          <w:sz w:val="20"/>
          <w:szCs w:val="20"/>
        </w:rPr>
        <w:t>-</w:t>
      </w:r>
      <w:r w:rsidRPr="00195D5C">
        <w:rPr>
          <w:rFonts w:ascii="Times New Roman" w:hAnsi="Times New Roman" w:cs="Times New Roman"/>
          <w:sz w:val="20"/>
          <w:szCs w:val="20"/>
        </w:rPr>
        <w:t xml:space="preserve">NR),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OS in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all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prespecified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subgroups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lastRenderedPageBreak/>
        <w:t>Updated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PFS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remained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similar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HR 0.51,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 xml:space="preserve">95% CI, 0.41e0.63),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medians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17.2 and 5.6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months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</w:p>
    <w:p w:rsidR="00195D5C" w:rsidRPr="00195D5C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95D5C">
        <w:rPr>
          <w:rFonts w:ascii="Times New Roman" w:hAnsi="Times New Roman" w:cs="Times New Roman"/>
          <w:sz w:val="20"/>
          <w:szCs w:val="20"/>
        </w:rPr>
        <w:t xml:space="preserve">and placebo,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respectively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improved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updated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>TTDM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HR 0.53, 95% CI, 0.41</w:t>
      </w:r>
      <w:r w:rsidR="004668FA">
        <w:rPr>
          <w:rFonts w:ascii="Times New Roman" w:hAnsi="Times New Roman" w:cs="Times New Roman"/>
          <w:sz w:val="20"/>
          <w:szCs w:val="20"/>
        </w:rPr>
        <w:t>-</w:t>
      </w:r>
      <w:r w:rsidRPr="00195D5C">
        <w:rPr>
          <w:rFonts w:ascii="Times New Roman" w:hAnsi="Times New Roman" w:cs="Times New Roman"/>
          <w:sz w:val="20"/>
          <w:szCs w:val="20"/>
        </w:rPr>
        <w:t>0.68), and PFS2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HR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>0.58, 95% CI, 0.46</w:t>
      </w:r>
      <w:r w:rsidR="004668FA">
        <w:rPr>
          <w:rFonts w:ascii="Times New Roman" w:hAnsi="Times New Roman" w:cs="Times New Roman"/>
          <w:sz w:val="20"/>
          <w:szCs w:val="20"/>
        </w:rPr>
        <w:t>-</w:t>
      </w:r>
      <w:r w:rsidRPr="00195D5C">
        <w:rPr>
          <w:rFonts w:ascii="Times New Roman" w:hAnsi="Times New Roman" w:cs="Times New Roman"/>
          <w:sz w:val="20"/>
          <w:szCs w:val="20"/>
        </w:rPr>
        <w:t>0.73), TFST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HR 0.58, 95% CI,</w:t>
      </w:r>
    </w:p>
    <w:p w:rsidR="00195D5C" w:rsidRPr="00195D5C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r w:rsidRPr="00195D5C">
        <w:rPr>
          <w:rFonts w:ascii="Times New Roman" w:hAnsi="Times New Roman" w:cs="Times New Roman"/>
          <w:sz w:val="20"/>
          <w:szCs w:val="20"/>
        </w:rPr>
        <w:t>0.47</w:t>
      </w:r>
      <w:r w:rsidR="004668FA">
        <w:rPr>
          <w:rFonts w:ascii="Times New Roman" w:hAnsi="Times New Roman" w:cs="Times New Roman"/>
          <w:sz w:val="20"/>
          <w:szCs w:val="20"/>
        </w:rPr>
        <w:t>-</w:t>
      </w:r>
      <w:r w:rsidRPr="00195D5C">
        <w:rPr>
          <w:rFonts w:ascii="Times New Roman" w:hAnsi="Times New Roman" w:cs="Times New Roman"/>
          <w:sz w:val="20"/>
          <w:szCs w:val="20"/>
        </w:rPr>
        <w:t>0.72) and TSST (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stratified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HR 0.63, 95% CI, 0.50</w:t>
      </w:r>
      <w:r w:rsidR="004668FA">
        <w:rPr>
          <w:rFonts w:ascii="Times New Roman" w:hAnsi="Times New Roman" w:cs="Times New Roman"/>
          <w:sz w:val="20"/>
          <w:szCs w:val="20"/>
        </w:rPr>
        <w:t>-</w:t>
      </w:r>
      <w:bookmarkStart w:id="0" w:name="_GoBack"/>
      <w:bookmarkEnd w:id="0"/>
      <w:r w:rsidRPr="00195D5C">
        <w:rPr>
          <w:rFonts w:ascii="Times New Roman" w:hAnsi="Times New Roman" w:cs="Times New Roman"/>
          <w:sz w:val="20"/>
          <w:szCs w:val="20"/>
        </w:rPr>
        <w:t xml:space="preserve">0.79).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Within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and placebo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groups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, 30.5% and 26.1% had grade 3/4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any-causality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AEs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, 15.4% and 9.8%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discontinued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to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AEs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, and no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new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safety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signals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were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identified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;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any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-grade (grade 3/4)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pneumonitis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/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radiation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pneumonitis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occurred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in 33.9% (3.6%) and 24.8% (3.0%).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Exploratory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analyses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characterizing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outcome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based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on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features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previous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195D5C">
        <w:rPr>
          <w:rFonts w:ascii="Times New Roman" w:hAnsi="Times New Roman" w:cs="Times New Roman"/>
          <w:sz w:val="20"/>
          <w:szCs w:val="20"/>
        </w:rPr>
        <w:t xml:space="preserve">CRT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will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be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presented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.</w:t>
      </w:r>
    </w:p>
    <w:p w:rsidR="00195D5C" w:rsidRPr="00195D5C" w:rsidRDefault="00195D5C" w:rsidP="00195D5C">
      <w:pPr>
        <w:spacing w:line="360" w:lineRule="auto"/>
        <w:rPr>
          <w:rFonts w:ascii="Times New Roman" w:hAnsi="Times New Roman" w:cs="Times New Roman"/>
          <w:sz w:val="20"/>
          <w:szCs w:val="20"/>
        </w:rPr>
      </w:pPr>
      <w:proofErr w:type="spellStart"/>
      <w:r w:rsidRPr="00195D5C">
        <w:rPr>
          <w:rFonts w:ascii="Times New Roman" w:hAnsi="Times New Roman" w:cs="Times New Roman"/>
          <w:b/>
          <w:sz w:val="20"/>
          <w:szCs w:val="20"/>
        </w:rPr>
        <w:t>Conclusion</w:t>
      </w:r>
      <w:proofErr w:type="spellEnd"/>
      <w:r w:rsidRPr="00195D5C">
        <w:rPr>
          <w:rFonts w:ascii="Times New Roman" w:hAnsi="Times New Roman" w:cs="Times New Roman"/>
          <w:b/>
          <w:sz w:val="20"/>
          <w:szCs w:val="20"/>
        </w:rPr>
        <w:t>: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demonstrated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statistically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significant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clinically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meaningful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improvement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in OS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compared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with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placebo,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supported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by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secondary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endpoints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such as PFS2. PACIFIC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is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first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study to show a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survival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advantage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following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CRT in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this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locally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advanced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NSCLC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population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>,</w:t>
      </w:r>
    </w:p>
    <w:p w:rsidR="00F7475F" w:rsidRPr="00195D5C" w:rsidRDefault="00195D5C" w:rsidP="00195D5C">
      <w:pPr>
        <w:spacing w:line="360" w:lineRule="auto"/>
      </w:pPr>
      <w:proofErr w:type="spellStart"/>
      <w:r w:rsidRPr="00195D5C">
        <w:rPr>
          <w:rFonts w:ascii="Times New Roman" w:hAnsi="Times New Roman" w:cs="Times New Roman"/>
          <w:sz w:val="20"/>
          <w:szCs w:val="20"/>
        </w:rPr>
        <w:t>providing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compelling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evidence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for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unprecedented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benefit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of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durvalumab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treatment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as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the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standard </w:t>
      </w:r>
      <w:proofErr w:type="spellStart"/>
      <w:r w:rsidRPr="00195D5C">
        <w:rPr>
          <w:rFonts w:ascii="Times New Roman" w:hAnsi="Times New Roman" w:cs="Times New Roman"/>
          <w:sz w:val="20"/>
          <w:szCs w:val="20"/>
        </w:rPr>
        <w:t>of</w:t>
      </w:r>
      <w:proofErr w:type="spellEnd"/>
      <w:r w:rsidRPr="00195D5C">
        <w:rPr>
          <w:rFonts w:ascii="Times New Roman" w:hAnsi="Times New Roman" w:cs="Times New Roman"/>
          <w:sz w:val="20"/>
          <w:szCs w:val="20"/>
        </w:rPr>
        <w:t xml:space="preserve"> care.</w:t>
      </w:r>
      <w:r w:rsidRPr="00195D5C">
        <w:rPr>
          <w:rFonts w:ascii="Times New Roman" w:hAnsi="Times New Roman" w:cs="Times New Roman"/>
          <w:sz w:val="20"/>
          <w:szCs w:val="20"/>
        </w:rPr>
        <w:t xml:space="preserve"> </w:t>
      </w:r>
    </w:p>
    <w:sectPr w:rsidR="00F7475F" w:rsidRPr="00195D5C" w:rsidSect="001F110E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446"/>
    <w:rsid w:val="00081DEE"/>
    <w:rsid w:val="00195D5C"/>
    <w:rsid w:val="00365446"/>
    <w:rsid w:val="00397807"/>
    <w:rsid w:val="004668FA"/>
    <w:rsid w:val="009F13D1"/>
    <w:rsid w:val="00C20916"/>
    <w:rsid w:val="00F74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7584B91-ADFA-4F64-ADF5-F6CF18C3A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5446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Multiscan Multiscan</dc:creator>
  <cp:keywords/>
  <dc:description/>
  <cp:lastModifiedBy>Multiscan Multiscan</cp:lastModifiedBy>
  <cp:revision>3</cp:revision>
  <dcterms:created xsi:type="dcterms:W3CDTF">2018-11-09T09:39:00Z</dcterms:created>
  <dcterms:modified xsi:type="dcterms:W3CDTF">2018-11-09T11:17:00Z</dcterms:modified>
</cp:coreProperties>
</file>