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A0" w:rsidRDefault="0007416F" w:rsidP="009B428A">
      <w:pPr>
        <w:tabs>
          <w:tab w:val="center" w:pos="8644"/>
          <w:tab w:val="right" w:pos="10042"/>
        </w:tabs>
        <w:spacing w:after="0" w:line="259" w:lineRule="auto"/>
        <w:ind w:left="0" w:firstLine="0"/>
        <w:jc w:val="left"/>
        <w:sectPr w:rsidR="008C47A0">
          <w:pgSz w:w="11520" w:h="15479"/>
          <w:pgMar w:top="674" w:right="760" w:bottom="1440" w:left="718" w:header="708" w:footer="708" w:gutter="0"/>
          <w:cols w:space="708"/>
        </w:sectPr>
      </w:pPr>
      <w:r>
        <w:rPr>
          <w:rFonts w:ascii="Calibri" w:eastAsia="Calibri" w:hAnsi="Calibri" w:cs="Calibri"/>
          <w:sz w:val="18"/>
        </w:rPr>
        <w:tab/>
      </w:r>
      <w:r>
        <w:rPr>
          <w:rFonts w:ascii="Calibri" w:eastAsia="Calibri" w:hAnsi="Calibri" w:cs="Calibri"/>
          <w:sz w:val="18"/>
        </w:rPr>
        <w:tab/>
      </w:r>
    </w:p>
    <w:p w:rsidR="008C47A0" w:rsidRPr="00D74016" w:rsidRDefault="0056620A" w:rsidP="0056620A">
      <w:pPr>
        <w:spacing w:after="484" w:line="360" w:lineRule="auto"/>
        <w:ind w:left="0" w:firstLine="0"/>
        <w:jc w:val="left"/>
        <w:rPr>
          <w:b/>
          <w:sz w:val="24"/>
          <w:szCs w:val="24"/>
          <w:lang w:val="en-IE"/>
        </w:rPr>
      </w:pPr>
      <w:r>
        <w:rPr>
          <w:rFonts w:eastAsia="Calibri"/>
          <w:b/>
          <w:sz w:val="24"/>
          <w:szCs w:val="24"/>
          <w:lang w:val="en-IE"/>
        </w:rPr>
        <w:br/>
      </w:r>
      <w:r w:rsidR="0007416F" w:rsidRPr="00D74016">
        <w:rPr>
          <w:rFonts w:eastAsia="Calibri"/>
          <w:b/>
          <w:sz w:val="24"/>
          <w:szCs w:val="24"/>
          <w:lang w:val="en-IE"/>
        </w:rPr>
        <w:t xml:space="preserve">Bladder Adjuvant </w:t>
      </w:r>
      <w:proofErr w:type="spellStart"/>
      <w:r w:rsidR="0007416F" w:rsidRPr="00D74016">
        <w:rPr>
          <w:rFonts w:eastAsia="Calibri"/>
          <w:b/>
          <w:sz w:val="24"/>
          <w:szCs w:val="24"/>
          <w:lang w:val="en-IE"/>
        </w:rPr>
        <w:t>RadioTherapy</w:t>
      </w:r>
      <w:proofErr w:type="spellEnd"/>
      <w:r w:rsidR="0007416F" w:rsidRPr="00D74016">
        <w:rPr>
          <w:rFonts w:eastAsia="Calibri"/>
          <w:b/>
          <w:sz w:val="24"/>
          <w:szCs w:val="24"/>
          <w:lang w:val="en-IE"/>
        </w:rPr>
        <w:t xml:space="preserve"> (BART): Acute and Late</w:t>
      </w:r>
      <w:r w:rsidR="009B428A" w:rsidRPr="00D74016">
        <w:rPr>
          <w:b/>
          <w:sz w:val="24"/>
          <w:szCs w:val="24"/>
          <w:lang w:val="en-IE"/>
        </w:rPr>
        <w:t xml:space="preserve"> </w:t>
      </w:r>
      <w:r w:rsidR="0007416F" w:rsidRPr="00D74016">
        <w:rPr>
          <w:rFonts w:eastAsia="Calibri"/>
          <w:b/>
          <w:sz w:val="24"/>
          <w:szCs w:val="24"/>
          <w:lang w:val="en-IE"/>
        </w:rPr>
        <w:t xml:space="preserve">Toxicity from a Phase III </w:t>
      </w:r>
      <w:proofErr w:type="spellStart"/>
      <w:r w:rsidR="0007416F" w:rsidRPr="00D74016">
        <w:rPr>
          <w:rFonts w:eastAsia="Calibri"/>
          <w:b/>
          <w:sz w:val="24"/>
          <w:szCs w:val="24"/>
          <w:lang w:val="en-IE"/>
        </w:rPr>
        <w:t>Multicenter</w:t>
      </w:r>
      <w:proofErr w:type="spellEnd"/>
      <w:r w:rsidR="0007416F" w:rsidRPr="00D74016">
        <w:rPr>
          <w:rFonts w:eastAsia="Calibri"/>
          <w:b/>
          <w:sz w:val="24"/>
          <w:szCs w:val="24"/>
          <w:lang w:val="en-IE"/>
        </w:rPr>
        <w:t xml:space="preserve"> Randomized Controlled Trial</w:t>
      </w:r>
    </w:p>
    <w:p w:rsidR="009B428A" w:rsidRDefault="0007416F" w:rsidP="00B603D2">
      <w:pPr>
        <w:spacing w:after="40" w:line="360" w:lineRule="auto"/>
        <w:ind w:left="-5"/>
        <w:jc w:val="left"/>
        <w:rPr>
          <w:sz w:val="20"/>
          <w:szCs w:val="20"/>
          <w:lang w:val="en-IE"/>
        </w:rPr>
      </w:pPr>
      <w:r w:rsidRPr="0056620A">
        <w:rPr>
          <w:sz w:val="20"/>
          <w:szCs w:val="20"/>
          <w:lang w:val="en-IE"/>
        </w:rPr>
        <w:t>V. Murthy,</w:t>
      </w:r>
      <w:r w:rsidRPr="0056620A">
        <w:rPr>
          <w:color w:val="0080AB"/>
          <w:sz w:val="20"/>
          <w:szCs w:val="20"/>
          <w:vertAlign w:val="superscript"/>
          <w:lang w:val="en-IE"/>
        </w:rPr>
        <w:t xml:space="preserve">1 </w:t>
      </w:r>
      <w:r w:rsidRPr="0056620A">
        <w:rPr>
          <w:sz w:val="20"/>
          <w:szCs w:val="20"/>
          <w:lang w:val="en-IE"/>
        </w:rPr>
        <w:t>P. Maitre,</w:t>
      </w:r>
      <w:r w:rsidRPr="0056620A">
        <w:rPr>
          <w:color w:val="0080AB"/>
          <w:sz w:val="20"/>
          <w:szCs w:val="20"/>
          <w:vertAlign w:val="superscript"/>
          <w:lang w:val="en-IE"/>
        </w:rPr>
        <w:t xml:space="preserve">1 </w:t>
      </w:r>
      <w:r w:rsidRPr="0056620A">
        <w:rPr>
          <w:sz w:val="20"/>
          <w:szCs w:val="20"/>
          <w:lang w:val="en-IE"/>
        </w:rPr>
        <w:t>M. Pal,</w:t>
      </w:r>
      <w:r w:rsidRPr="0056620A">
        <w:rPr>
          <w:color w:val="0080AB"/>
          <w:sz w:val="20"/>
          <w:szCs w:val="20"/>
          <w:vertAlign w:val="superscript"/>
          <w:lang w:val="en-IE"/>
        </w:rPr>
        <w:t xml:space="preserve">1 </w:t>
      </w:r>
      <w:r w:rsidRPr="0056620A">
        <w:rPr>
          <w:sz w:val="20"/>
          <w:szCs w:val="20"/>
          <w:lang w:val="en-IE"/>
        </w:rPr>
        <w:t>R. Sharma,</w:t>
      </w:r>
      <w:r w:rsidRPr="0056620A">
        <w:rPr>
          <w:color w:val="0080AB"/>
          <w:sz w:val="20"/>
          <w:szCs w:val="20"/>
          <w:vertAlign w:val="superscript"/>
          <w:lang w:val="en-IE"/>
        </w:rPr>
        <w:t xml:space="preserve">2 </w:t>
      </w:r>
      <w:r w:rsidRPr="0056620A">
        <w:rPr>
          <w:sz w:val="20"/>
          <w:szCs w:val="20"/>
          <w:lang w:val="en-IE"/>
        </w:rPr>
        <w:t>L. Pujari,</w:t>
      </w:r>
      <w:r w:rsidRPr="0056620A">
        <w:rPr>
          <w:color w:val="0080AB"/>
          <w:sz w:val="20"/>
          <w:szCs w:val="20"/>
          <w:vertAlign w:val="superscript"/>
          <w:lang w:val="en-IE"/>
        </w:rPr>
        <w:t xml:space="preserve">3 </w:t>
      </w:r>
      <w:r w:rsidRPr="0056620A">
        <w:rPr>
          <w:sz w:val="20"/>
          <w:szCs w:val="20"/>
          <w:lang w:val="en-IE"/>
        </w:rPr>
        <w:t>H. Pandey,</w:t>
      </w:r>
      <w:r w:rsidRPr="0056620A">
        <w:rPr>
          <w:color w:val="0080AB"/>
          <w:sz w:val="20"/>
          <w:szCs w:val="20"/>
          <w:vertAlign w:val="superscript"/>
          <w:lang w:val="en-IE"/>
        </w:rPr>
        <w:t>3</w:t>
      </w:r>
      <w:r w:rsidR="009B428A" w:rsidRPr="0056620A">
        <w:rPr>
          <w:sz w:val="20"/>
          <w:szCs w:val="20"/>
          <w:lang w:val="en-IE"/>
        </w:rPr>
        <w:t xml:space="preserve"> </w:t>
      </w:r>
      <w:r w:rsidRPr="0056620A">
        <w:rPr>
          <w:sz w:val="20"/>
          <w:szCs w:val="20"/>
          <w:lang w:val="en-IE"/>
        </w:rPr>
        <w:t>D. Gudipudi,</w:t>
      </w:r>
      <w:r w:rsidRPr="0056620A">
        <w:rPr>
          <w:color w:val="0080AB"/>
          <w:sz w:val="20"/>
          <w:szCs w:val="20"/>
          <w:vertAlign w:val="superscript"/>
          <w:lang w:val="en-IE"/>
        </w:rPr>
        <w:t xml:space="preserve">2 </w:t>
      </w:r>
      <w:r w:rsidRPr="0056620A">
        <w:rPr>
          <w:sz w:val="20"/>
          <w:szCs w:val="20"/>
          <w:lang w:val="en-IE"/>
        </w:rPr>
        <w:t>B. Bandekar,</w:t>
      </w:r>
      <w:r w:rsidRPr="0056620A">
        <w:rPr>
          <w:color w:val="0080AB"/>
          <w:sz w:val="20"/>
          <w:szCs w:val="20"/>
          <w:vertAlign w:val="superscript"/>
          <w:lang w:val="en-IE"/>
        </w:rPr>
        <w:t xml:space="preserve">3 </w:t>
      </w:r>
      <w:r w:rsidRPr="0056620A">
        <w:rPr>
          <w:sz w:val="20"/>
          <w:szCs w:val="20"/>
          <w:lang w:val="en-IE"/>
        </w:rPr>
        <w:t>D.M. Joseph,</w:t>
      </w:r>
      <w:r w:rsidRPr="0056620A">
        <w:rPr>
          <w:color w:val="0080AB"/>
          <w:sz w:val="20"/>
          <w:szCs w:val="20"/>
          <w:vertAlign w:val="superscript"/>
          <w:lang w:val="en-IE"/>
        </w:rPr>
        <w:t xml:space="preserve">4 </w:t>
      </w:r>
      <w:r w:rsidRPr="0056620A">
        <w:rPr>
          <w:sz w:val="20"/>
          <w:szCs w:val="20"/>
          <w:lang w:val="en-IE"/>
        </w:rPr>
        <w:t>P.S. Mehta,</w:t>
      </w:r>
      <w:r w:rsidRPr="0056620A">
        <w:rPr>
          <w:color w:val="0080AB"/>
          <w:sz w:val="20"/>
          <w:szCs w:val="20"/>
          <w:vertAlign w:val="superscript"/>
          <w:lang w:val="en-IE"/>
        </w:rPr>
        <w:t xml:space="preserve">1 </w:t>
      </w:r>
      <w:r w:rsidRPr="0056620A">
        <w:rPr>
          <w:sz w:val="20"/>
          <w:szCs w:val="20"/>
          <w:lang w:val="en-IE"/>
        </w:rPr>
        <w:t>R. Krishnatry,</w:t>
      </w:r>
      <w:r w:rsidRPr="0056620A">
        <w:rPr>
          <w:color w:val="0080AB"/>
          <w:sz w:val="20"/>
          <w:szCs w:val="20"/>
          <w:vertAlign w:val="superscript"/>
          <w:lang w:val="en-IE"/>
        </w:rPr>
        <w:t>1</w:t>
      </w:r>
      <w:r w:rsidR="009B428A" w:rsidRPr="00D74016">
        <w:rPr>
          <w:sz w:val="20"/>
          <w:szCs w:val="20"/>
          <w:lang w:val="en-IE"/>
        </w:rPr>
        <w:t xml:space="preserve"> </w:t>
      </w:r>
      <w:r w:rsidRPr="00D74016">
        <w:rPr>
          <w:sz w:val="20"/>
          <w:szCs w:val="20"/>
          <w:lang w:val="en-IE"/>
        </w:rPr>
        <w:t>P. Singh,</w:t>
      </w:r>
      <w:r w:rsidRPr="00D74016">
        <w:rPr>
          <w:color w:val="0080AB"/>
          <w:sz w:val="20"/>
          <w:szCs w:val="20"/>
          <w:vertAlign w:val="superscript"/>
          <w:lang w:val="en-IE"/>
        </w:rPr>
        <w:t xml:space="preserve">1 </w:t>
      </w:r>
      <w:r w:rsidRPr="00D74016">
        <w:rPr>
          <w:sz w:val="20"/>
          <w:szCs w:val="20"/>
          <w:lang w:val="en-IE"/>
        </w:rPr>
        <w:t>R. Phurailatpam,</w:t>
      </w:r>
      <w:r w:rsidRPr="00D74016">
        <w:rPr>
          <w:color w:val="0080AB"/>
          <w:sz w:val="20"/>
          <w:szCs w:val="20"/>
          <w:vertAlign w:val="superscript"/>
          <w:lang w:val="en-IE"/>
        </w:rPr>
        <w:t xml:space="preserve">1 </w:t>
      </w:r>
      <w:r w:rsidRPr="00D74016">
        <w:rPr>
          <w:sz w:val="20"/>
          <w:szCs w:val="20"/>
          <w:lang w:val="en-IE"/>
        </w:rPr>
        <w:t>A. Arora,</w:t>
      </w:r>
      <w:r w:rsidRPr="00D74016">
        <w:rPr>
          <w:color w:val="0080AB"/>
          <w:sz w:val="20"/>
          <w:szCs w:val="20"/>
          <w:vertAlign w:val="superscript"/>
          <w:lang w:val="en-IE"/>
        </w:rPr>
        <w:t xml:space="preserve">1 </w:t>
      </w:r>
      <w:r w:rsidRPr="00D74016">
        <w:rPr>
          <w:sz w:val="20"/>
          <w:szCs w:val="20"/>
          <w:lang w:val="en-IE"/>
        </w:rPr>
        <w:t>A. Joshi,</w:t>
      </w:r>
      <w:r w:rsidRPr="00D74016">
        <w:rPr>
          <w:color w:val="0080AB"/>
          <w:sz w:val="20"/>
          <w:szCs w:val="20"/>
          <w:vertAlign w:val="superscript"/>
          <w:lang w:val="en-IE"/>
        </w:rPr>
        <w:t xml:space="preserve">1 </w:t>
      </w:r>
      <w:r w:rsidRPr="00D74016">
        <w:rPr>
          <w:sz w:val="20"/>
          <w:szCs w:val="20"/>
          <w:lang w:val="en-IE"/>
        </w:rPr>
        <w:t>V. Noronha,</w:t>
      </w:r>
      <w:r w:rsidRPr="00D74016">
        <w:rPr>
          <w:color w:val="0080AB"/>
          <w:sz w:val="20"/>
          <w:szCs w:val="20"/>
          <w:vertAlign w:val="superscript"/>
          <w:lang w:val="en-IE"/>
        </w:rPr>
        <w:t>1</w:t>
      </w:r>
      <w:r w:rsidR="009B428A" w:rsidRPr="00D74016">
        <w:rPr>
          <w:sz w:val="20"/>
          <w:szCs w:val="20"/>
          <w:lang w:val="en-IE"/>
        </w:rPr>
        <w:t xml:space="preserve"> </w:t>
      </w:r>
      <w:r w:rsidRPr="00D74016">
        <w:rPr>
          <w:sz w:val="20"/>
          <w:szCs w:val="20"/>
          <w:lang w:val="en-IE"/>
        </w:rPr>
        <w:t>K. Prabhash,</w:t>
      </w:r>
      <w:r w:rsidRPr="00D74016">
        <w:rPr>
          <w:color w:val="0080AB"/>
          <w:sz w:val="20"/>
          <w:szCs w:val="20"/>
          <w:vertAlign w:val="superscript"/>
          <w:lang w:val="en-IE"/>
        </w:rPr>
        <w:t xml:space="preserve">1 </w:t>
      </w:r>
      <w:r w:rsidRPr="00D74016">
        <w:rPr>
          <w:sz w:val="20"/>
          <w:szCs w:val="20"/>
          <w:lang w:val="en-IE"/>
        </w:rPr>
        <w:t>S. Menon,</w:t>
      </w:r>
      <w:r w:rsidRPr="00D74016">
        <w:rPr>
          <w:color w:val="0080AB"/>
          <w:sz w:val="20"/>
          <w:szCs w:val="20"/>
          <w:vertAlign w:val="superscript"/>
          <w:lang w:val="en-IE"/>
        </w:rPr>
        <w:t xml:space="preserve">1 </w:t>
      </w:r>
      <w:r w:rsidRPr="00D74016">
        <w:rPr>
          <w:sz w:val="20"/>
          <w:szCs w:val="20"/>
          <w:lang w:val="en-IE"/>
        </w:rPr>
        <w:t>G. Bakshi,</w:t>
      </w:r>
      <w:r w:rsidRPr="00D74016">
        <w:rPr>
          <w:color w:val="0080AB"/>
          <w:sz w:val="20"/>
          <w:szCs w:val="20"/>
          <w:vertAlign w:val="superscript"/>
          <w:lang w:val="en-IE"/>
        </w:rPr>
        <w:t xml:space="preserve">1 </w:t>
      </w:r>
      <w:r w:rsidRPr="00D74016">
        <w:rPr>
          <w:sz w:val="20"/>
          <w:szCs w:val="20"/>
          <w:lang w:val="en-IE"/>
        </w:rPr>
        <w:t>and G. Prakash</w:t>
      </w:r>
      <w:r w:rsidRPr="00D74016">
        <w:rPr>
          <w:color w:val="0080AB"/>
          <w:sz w:val="20"/>
          <w:szCs w:val="20"/>
          <w:vertAlign w:val="superscript"/>
          <w:lang w:val="en-IE"/>
        </w:rPr>
        <w:t>1</w:t>
      </w:r>
      <w:r w:rsidRPr="00D74016">
        <w:rPr>
          <w:sz w:val="20"/>
          <w:szCs w:val="20"/>
          <w:lang w:val="en-IE"/>
        </w:rPr>
        <w:t xml:space="preserve">; </w:t>
      </w:r>
      <w:bookmarkStart w:id="0" w:name="_GoBack"/>
      <w:bookmarkEnd w:id="0"/>
    </w:p>
    <w:p w:rsidR="00B603D2" w:rsidRPr="00B603D2" w:rsidRDefault="00B603D2" w:rsidP="00B603D2">
      <w:pPr>
        <w:spacing w:after="40" w:line="360" w:lineRule="auto"/>
        <w:ind w:left="-5"/>
        <w:jc w:val="left"/>
        <w:rPr>
          <w:sz w:val="10"/>
          <w:szCs w:val="10"/>
          <w:lang w:val="en-IE"/>
        </w:rPr>
      </w:pPr>
    </w:p>
    <w:p w:rsidR="009B428A" w:rsidRPr="00D74016" w:rsidRDefault="0007416F" w:rsidP="0056620A">
      <w:pPr>
        <w:spacing w:after="40" w:line="360" w:lineRule="auto"/>
        <w:ind w:left="-5"/>
        <w:jc w:val="left"/>
        <w:rPr>
          <w:i/>
          <w:sz w:val="20"/>
          <w:szCs w:val="20"/>
          <w:lang w:val="en-IE"/>
        </w:rPr>
      </w:pPr>
      <w:r w:rsidRPr="00D74016">
        <w:rPr>
          <w:i/>
          <w:sz w:val="20"/>
          <w:szCs w:val="20"/>
          <w:vertAlign w:val="superscript"/>
          <w:lang w:val="en-IE"/>
        </w:rPr>
        <w:t>1</w:t>
      </w:r>
      <w:r w:rsidRPr="00D74016">
        <w:rPr>
          <w:i/>
          <w:sz w:val="20"/>
          <w:szCs w:val="20"/>
          <w:lang w:val="en-IE"/>
        </w:rPr>
        <w:t>Tata Memorial</w:t>
      </w:r>
      <w:r w:rsidR="009B428A" w:rsidRPr="00D74016">
        <w:rPr>
          <w:i/>
          <w:sz w:val="20"/>
          <w:szCs w:val="20"/>
          <w:lang w:val="en-IE"/>
        </w:rPr>
        <w:t xml:space="preserve"> </w:t>
      </w:r>
      <w:r w:rsidRPr="00D74016">
        <w:rPr>
          <w:i/>
          <w:sz w:val="20"/>
          <w:szCs w:val="20"/>
          <w:lang w:val="en-IE"/>
        </w:rPr>
        <w:t xml:space="preserve">Centre, </w:t>
      </w:r>
      <w:proofErr w:type="spellStart"/>
      <w:r w:rsidRPr="00D74016">
        <w:rPr>
          <w:i/>
          <w:sz w:val="20"/>
          <w:szCs w:val="20"/>
          <w:lang w:val="en-IE"/>
        </w:rPr>
        <w:t>Homi</w:t>
      </w:r>
      <w:proofErr w:type="spellEnd"/>
      <w:r w:rsidRPr="00D74016">
        <w:rPr>
          <w:i/>
          <w:sz w:val="20"/>
          <w:szCs w:val="20"/>
          <w:lang w:val="en-IE"/>
        </w:rPr>
        <w:t xml:space="preserve"> Bhabha National Institute, Mumbai, India, </w:t>
      </w:r>
      <w:r w:rsidRPr="00D74016">
        <w:rPr>
          <w:i/>
          <w:sz w:val="20"/>
          <w:szCs w:val="20"/>
          <w:vertAlign w:val="superscript"/>
          <w:lang w:val="en-IE"/>
        </w:rPr>
        <w:t>2</w:t>
      </w:r>
      <w:r w:rsidRPr="00D74016">
        <w:rPr>
          <w:i/>
          <w:sz w:val="20"/>
          <w:szCs w:val="20"/>
          <w:lang w:val="en-IE"/>
        </w:rPr>
        <w:t>Basavatarakam</w:t>
      </w:r>
      <w:r w:rsidR="009B428A" w:rsidRPr="00D74016">
        <w:rPr>
          <w:i/>
          <w:sz w:val="20"/>
          <w:szCs w:val="20"/>
          <w:lang w:val="en-IE"/>
        </w:rPr>
        <w:t xml:space="preserve"> </w:t>
      </w:r>
      <w:r w:rsidRPr="00D74016">
        <w:rPr>
          <w:i/>
          <w:sz w:val="20"/>
          <w:szCs w:val="20"/>
          <w:lang w:val="en-IE"/>
        </w:rPr>
        <w:t>Indo-American Cancer Hospital and Research Institute, Hyderabad, India,</w:t>
      </w:r>
      <w:r w:rsidR="009B428A" w:rsidRPr="00D74016">
        <w:rPr>
          <w:i/>
          <w:sz w:val="20"/>
          <w:szCs w:val="20"/>
          <w:lang w:val="en-IE"/>
        </w:rPr>
        <w:t xml:space="preserve"> </w:t>
      </w:r>
      <w:r w:rsidRPr="00D74016">
        <w:rPr>
          <w:i/>
          <w:sz w:val="20"/>
          <w:szCs w:val="20"/>
          <w:vertAlign w:val="superscript"/>
          <w:lang w:val="en-IE"/>
        </w:rPr>
        <w:t>3</w:t>
      </w:r>
      <w:r w:rsidR="009B428A" w:rsidRPr="00D74016">
        <w:rPr>
          <w:i/>
          <w:sz w:val="20"/>
          <w:szCs w:val="20"/>
          <w:lang w:val="en-IE"/>
        </w:rPr>
        <w:t xml:space="preserve"> </w:t>
      </w:r>
      <w:proofErr w:type="spellStart"/>
      <w:r w:rsidRPr="00D74016">
        <w:rPr>
          <w:i/>
          <w:sz w:val="20"/>
          <w:szCs w:val="20"/>
          <w:lang w:val="en-IE"/>
        </w:rPr>
        <w:t>Mahamana</w:t>
      </w:r>
      <w:proofErr w:type="spellEnd"/>
      <w:r w:rsidRPr="00D74016">
        <w:rPr>
          <w:i/>
          <w:sz w:val="20"/>
          <w:szCs w:val="20"/>
          <w:lang w:val="en-IE"/>
        </w:rPr>
        <w:t xml:space="preserve"> Pandit Madan Mohan </w:t>
      </w:r>
      <w:proofErr w:type="spellStart"/>
      <w:r w:rsidRPr="00D74016">
        <w:rPr>
          <w:i/>
          <w:sz w:val="20"/>
          <w:szCs w:val="20"/>
          <w:lang w:val="en-IE"/>
        </w:rPr>
        <w:t>Malaviya</w:t>
      </w:r>
      <w:proofErr w:type="spellEnd"/>
      <w:r w:rsidRPr="00D74016">
        <w:rPr>
          <w:i/>
          <w:sz w:val="20"/>
          <w:szCs w:val="20"/>
          <w:lang w:val="en-IE"/>
        </w:rPr>
        <w:t xml:space="preserve"> Cancer Centre and </w:t>
      </w:r>
      <w:proofErr w:type="spellStart"/>
      <w:r w:rsidRPr="00D74016">
        <w:rPr>
          <w:i/>
          <w:sz w:val="20"/>
          <w:szCs w:val="20"/>
          <w:lang w:val="en-IE"/>
        </w:rPr>
        <w:t>Homi</w:t>
      </w:r>
      <w:proofErr w:type="spellEnd"/>
      <w:r w:rsidR="009B428A" w:rsidRPr="00D74016">
        <w:rPr>
          <w:i/>
          <w:sz w:val="20"/>
          <w:szCs w:val="20"/>
          <w:lang w:val="en-IE"/>
        </w:rPr>
        <w:t xml:space="preserve"> </w:t>
      </w:r>
      <w:r w:rsidRPr="00D74016">
        <w:rPr>
          <w:i/>
          <w:sz w:val="20"/>
          <w:szCs w:val="20"/>
          <w:lang w:val="en-IE"/>
        </w:rPr>
        <w:t xml:space="preserve">Bhabha Cancer Hospital, </w:t>
      </w:r>
      <w:proofErr w:type="spellStart"/>
      <w:r w:rsidRPr="00D74016">
        <w:rPr>
          <w:i/>
          <w:sz w:val="20"/>
          <w:szCs w:val="20"/>
          <w:lang w:val="en-IE"/>
        </w:rPr>
        <w:t>Homi</w:t>
      </w:r>
      <w:proofErr w:type="spellEnd"/>
      <w:r w:rsidRPr="00D74016">
        <w:rPr>
          <w:i/>
          <w:sz w:val="20"/>
          <w:szCs w:val="20"/>
          <w:lang w:val="en-IE"/>
        </w:rPr>
        <w:t xml:space="preserve"> Bhabha National Institute, Varanasi, India, </w:t>
      </w:r>
      <w:r w:rsidRPr="00D74016">
        <w:rPr>
          <w:i/>
          <w:sz w:val="20"/>
          <w:szCs w:val="20"/>
          <w:vertAlign w:val="superscript"/>
          <w:lang w:val="en-IE"/>
        </w:rPr>
        <w:t>4</w:t>
      </w:r>
      <w:r w:rsidRPr="00D74016">
        <w:rPr>
          <w:i/>
          <w:sz w:val="20"/>
          <w:szCs w:val="20"/>
          <w:lang w:val="en-IE"/>
        </w:rPr>
        <w:t xml:space="preserve"> All India Institute of Medical Sciences, Dehradun, India</w:t>
      </w:r>
    </w:p>
    <w:p w:rsidR="00C24159" w:rsidRPr="00B603D2" w:rsidRDefault="00C24159" w:rsidP="0056620A">
      <w:pPr>
        <w:spacing w:after="40" w:line="360" w:lineRule="auto"/>
        <w:ind w:left="0" w:firstLine="0"/>
        <w:jc w:val="left"/>
        <w:rPr>
          <w:sz w:val="10"/>
          <w:szCs w:val="10"/>
          <w:lang w:val="en-IE"/>
        </w:rPr>
      </w:pPr>
    </w:p>
    <w:p w:rsidR="008C47A0" w:rsidRPr="00D74016" w:rsidRDefault="0007416F" w:rsidP="0056620A">
      <w:pPr>
        <w:spacing w:after="40" w:line="360" w:lineRule="auto"/>
        <w:ind w:left="-15" w:firstLine="0"/>
        <w:jc w:val="left"/>
        <w:rPr>
          <w:sz w:val="20"/>
          <w:szCs w:val="20"/>
          <w:lang w:val="en-IE"/>
        </w:rPr>
      </w:pPr>
      <w:r w:rsidRPr="00D74016">
        <w:rPr>
          <w:rFonts w:eastAsia="Calibri"/>
          <w:b/>
          <w:sz w:val="20"/>
          <w:szCs w:val="20"/>
          <w:lang w:val="en-IE"/>
        </w:rPr>
        <w:t>Purpose/Objective(s):</w:t>
      </w:r>
      <w:r w:rsidRPr="00D74016">
        <w:rPr>
          <w:rFonts w:eastAsia="Calibri"/>
          <w:sz w:val="20"/>
          <w:szCs w:val="20"/>
          <w:lang w:val="en-IE"/>
        </w:rPr>
        <w:t xml:space="preserve"> </w:t>
      </w:r>
      <w:r w:rsidRPr="00D74016">
        <w:rPr>
          <w:sz w:val="20"/>
          <w:szCs w:val="20"/>
          <w:lang w:val="en-IE"/>
        </w:rPr>
        <w:t xml:space="preserve">To report acute and late toxicity from the </w:t>
      </w:r>
      <w:proofErr w:type="spellStart"/>
      <w:r w:rsidRPr="00D74016">
        <w:rPr>
          <w:sz w:val="20"/>
          <w:szCs w:val="20"/>
          <w:lang w:val="en-IE"/>
        </w:rPr>
        <w:t>multicenter</w:t>
      </w:r>
      <w:proofErr w:type="spellEnd"/>
      <w:r w:rsidRPr="00D74016">
        <w:rPr>
          <w:sz w:val="20"/>
          <w:szCs w:val="20"/>
          <w:lang w:val="en-IE"/>
        </w:rPr>
        <w:t xml:space="preserve"> phase III randomized trial of Adjuvant Radiotherapy (BART) after radical cystectomy (RC) and chemotherapy in muscle-invasive bladder cancer (MIBC).</w:t>
      </w:r>
    </w:p>
    <w:p w:rsidR="008C47A0" w:rsidRPr="00D74016" w:rsidRDefault="0007416F" w:rsidP="0056620A">
      <w:pPr>
        <w:spacing w:line="360" w:lineRule="auto"/>
        <w:ind w:left="-5"/>
        <w:jc w:val="left"/>
        <w:rPr>
          <w:sz w:val="20"/>
          <w:szCs w:val="20"/>
          <w:lang w:val="en-IE"/>
        </w:rPr>
      </w:pPr>
      <w:r w:rsidRPr="00D74016">
        <w:rPr>
          <w:rFonts w:eastAsia="Calibri"/>
          <w:b/>
          <w:sz w:val="20"/>
          <w:szCs w:val="20"/>
          <w:lang w:val="en-IE"/>
        </w:rPr>
        <w:t>Materials/Methods:</w:t>
      </w:r>
      <w:r w:rsidRPr="00D74016">
        <w:rPr>
          <w:rFonts w:eastAsia="Calibri"/>
          <w:sz w:val="20"/>
          <w:szCs w:val="20"/>
          <w:lang w:val="en-IE"/>
        </w:rPr>
        <w:t xml:space="preserve"> </w:t>
      </w:r>
      <w:r w:rsidRPr="00D74016">
        <w:rPr>
          <w:sz w:val="20"/>
          <w:szCs w:val="20"/>
          <w:lang w:val="en-IE"/>
        </w:rPr>
        <w:t xml:space="preserve">Patients with non-metastatic urothelial MIBC with </w:t>
      </w:r>
      <w:r w:rsidRPr="00D74016">
        <w:rPr>
          <w:rFonts w:eastAsia="Calibri"/>
          <w:sz w:val="20"/>
          <w:szCs w:val="20"/>
          <w:lang w:val="en-IE"/>
        </w:rPr>
        <w:t>≥</w:t>
      </w:r>
      <w:r w:rsidRPr="00D74016">
        <w:rPr>
          <w:sz w:val="20"/>
          <w:szCs w:val="20"/>
          <w:lang w:val="en-IE"/>
        </w:rPr>
        <w:t xml:space="preserve">1 high risk feature after RC- pT3-4, pN1-3, nodal yield </w:t>
      </w:r>
      <w:r w:rsidRPr="00D74016">
        <w:rPr>
          <w:rFonts w:eastAsia="Calibri"/>
          <w:sz w:val="20"/>
          <w:szCs w:val="20"/>
          <w:lang w:val="en-IE"/>
        </w:rPr>
        <w:t>&lt;</w:t>
      </w:r>
      <w:r w:rsidRPr="00D74016">
        <w:rPr>
          <w:sz w:val="20"/>
          <w:szCs w:val="20"/>
          <w:lang w:val="en-IE"/>
        </w:rPr>
        <w:t xml:space="preserve">10, positive margin, or neoadjuvant chemotherapy for </w:t>
      </w:r>
      <w:r w:rsidRPr="00D74016">
        <w:rPr>
          <w:rFonts w:eastAsia="Calibri"/>
          <w:sz w:val="20"/>
          <w:szCs w:val="20"/>
          <w:lang w:val="en-IE"/>
        </w:rPr>
        <w:t>≥</w:t>
      </w:r>
      <w:r w:rsidRPr="00D74016">
        <w:rPr>
          <w:sz w:val="20"/>
          <w:szCs w:val="20"/>
          <w:lang w:val="en-IE"/>
        </w:rPr>
        <w:t>cT3 disease; were randomized 1:1 to observation (</w:t>
      </w:r>
      <w:proofErr w:type="spellStart"/>
      <w:r w:rsidRPr="00D74016">
        <w:rPr>
          <w:sz w:val="20"/>
          <w:szCs w:val="20"/>
          <w:lang w:val="en-IE"/>
        </w:rPr>
        <w:t>obs</w:t>
      </w:r>
      <w:proofErr w:type="spellEnd"/>
      <w:r w:rsidRPr="00D74016">
        <w:rPr>
          <w:sz w:val="20"/>
          <w:szCs w:val="20"/>
          <w:lang w:val="en-IE"/>
        </w:rPr>
        <w:t xml:space="preserve">) or adjuvant radiotherapy (RT) arms at four participating </w:t>
      </w:r>
      <w:proofErr w:type="spellStart"/>
      <w:r w:rsidRPr="00D74016">
        <w:rPr>
          <w:sz w:val="20"/>
          <w:szCs w:val="20"/>
          <w:lang w:val="en-IE"/>
        </w:rPr>
        <w:t>centers</w:t>
      </w:r>
      <w:proofErr w:type="spellEnd"/>
      <w:r w:rsidRPr="00D74016">
        <w:rPr>
          <w:sz w:val="20"/>
          <w:szCs w:val="20"/>
          <w:lang w:val="en-IE"/>
        </w:rPr>
        <w:t>. They were strati</w:t>
      </w:r>
      <w:r w:rsidRPr="00D74016">
        <w:rPr>
          <w:rFonts w:eastAsia="Calibri"/>
          <w:sz w:val="20"/>
          <w:szCs w:val="20"/>
          <w:lang w:val="en-IE"/>
        </w:rPr>
        <w:t>fi</w:t>
      </w:r>
      <w:r w:rsidRPr="00D74016">
        <w:rPr>
          <w:sz w:val="20"/>
          <w:szCs w:val="20"/>
          <w:lang w:val="en-IE"/>
        </w:rPr>
        <w:t xml:space="preserve">ed by nodal stage (N0 vs N+) and chemotherapy (neoadjuvant vs adjuvant vs none). The cystectomy bed and pelvic nodal region were irradiated to 50.4Gy in 28 fractions using stoma-sparing intensity modulated RT and daily image guidance. Acute toxicity (within 3 months of RT or randomization) was assessed weekly during RT and late toxicity at every visit using CTCAE v5.0 scale. Toxicity was </w:t>
      </w:r>
      <w:proofErr w:type="spellStart"/>
      <w:r w:rsidRPr="00D74016">
        <w:rPr>
          <w:sz w:val="20"/>
          <w:szCs w:val="20"/>
          <w:lang w:val="en-IE"/>
        </w:rPr>
        <w:t>analyzed</w:t>
      </w:r>
      <w:proofErr w:type="spellEnd"/>
      <w:r w:rsidRPr="00D74016">
        <w:rPr>
          <w:sz w:val="20"/>
          <w:szCs w:val="20"/>
          <w:lang w:val="en-IE"/>
        </w:rPr>
        <w:t xml:space="preserve"> per protocol, and compared using chi square test. Patients who did not receive the planned RT were </w:t>
      </w:r>
      <w:proofErr w:type="spellStart"/>
      <w:r w:rsidRPr="00D74016">
        <w:rPr>
          <w:sz w:val="20"/>
          <w:szCs w:val="20"/>
          <w:lang w:val="en-IE"/>
        </w:rPr>
        <w:t>analyzed</w:t>
      </w:r>
      <w:proofErr w:type="spellEnd"/>
      <w:r w:rsidRPr="00D74016">
        <w:rPr>
          <w:sz w:val="20"/>
          <w:szCs w:val="20"/>
          <w:lang w:val="en-IE"/>
        </w:rPr>
        <w:t xml:space="preserve"> in the observation cohort. Patients who progressed within 3 or 6 months of RT/randomization were excluded from acute or late toxicity analysis respectively.</w:t>
      </w:r>
    </w:p>
    <w:p w:rsidR="008C47A0" w:rsidRPr="00D74016" w:rsidRDefault="0007416F" w:rsidP="0056620A">
      <w:pPr>
        <w:spacing w:line="360" w:lineRule="auto"/>
        <w:ind w:left="-5"/>
        <w:jc w:val="left"/>
        <w:rPr>
          <w:sz w:val="20"/>
          <w:szCs w:val="20"/>
          <w:lang w:val="en-IE"/>
        </w:rPr>
      </w:pPr>
      <w:r w:rsidRPr="00D74016">
        <w:rPr>
          <w:rFonts w:eastAsia="Calibri"/>
          <w:b/>
          <w:sz w:val="20"/>
          <w:szCs w:val="20"/>
          <w:lang w:val="en-IE"/>
        </w:rPr>
        <w:t>Results:</w:t>
      </w:r>
      <w:r w:rsidRPr="00D74016">
        <w:rPr>
          <w:rFonts w:eastAsia="Calibri"/>
          <w:sz w:val="20"/>
          <w:szCs w:val="20"/>
          <w:lang w:val="en-IE"/>
        </w:rPr>
        <w:t xml:space="preserve"> </w:t>
      </w:r>
      <w:r w:rsidRPr="00D74016">
        <w:rPr>
          <w:sz w:val="20"/>
          <w:szCs w:val="20"/>
          <w:lang w:val="en-IE"/>
        </w:rPr>
        <w:t>From June 2016 to May 2024, total 153 patients were randomized (</w:t>
      </w:r>
      <w:proofErr w:type="spellStart"/>
      <w:r w:rsidRPr="00D74016">
        <w:rPr>
          <w:sz w:val="20"/>
          <w:szCs w:val="20"/>
          <w:lang w:val="en-IE"/>
        </w:rPr>
        <w:t>obs</w:t>
      </w:r>
      <w:proofErr w:type="spellEnd"/>
      <w:r w:rsidRPr="00D74016">
        <w:rPr>
          <w:sz w:val="20"/>
          <w:szCs w:val="20"/>
          <w:lang w:val="en-IE"/>
        </w:rPr>
        <w:t xml:space="preserve"> = 76, RT = 77). Of the 77 in RT arm, 63 completed RT as per protocol (defaulted RT = 8, progression before RT= 4, no RT due to post-op complications = 2). Overall, 49% patients were node positive, 4.5% had R1 resection, and 28% had a component of variant histology. About 90% patients received chemotherapy (70.6% neoadjuvant, 19.6% adjuvant). No patient received adjuvant immunotherapy. Acute toxicity was </w:t>
      </w:r>
      <w:proofErr w:type="spellStart"/>
      <w:r w:rsidRPr="00D74016">
        <w:rPr>
          <w:sz w:val="20"/>
          <w:szCs w:val="20"/>
          <w:lang w:val="en-IE"/>
        </w:rPr>
        <w:t>analyzed</w:t>
      </w:r>
      <w:proofErr w:type="spellEnd"/>
      <w:r w:rsidRPr="00D74016">
        <w:rPr>
          <w:sz w:val="20"/>
          <w:szCs w:val="20"/>
          <w:lang w:val="en-IE"/>
        </w:rPr>
        <w:t xml:space="preserve"> in 134 eligible patients. Grade 3 acute toxicity was seen in 4 patients, 3 in the </w:t>
      </w:r>
      <w:proofErr w:type="spellStart"/>
      <w:r w:rsidRPr="00D74016">
        <w:rPr>
          <w:sz w:val="20"/>
          <w:szCs w:val="20"/>
          <w:lang w:val="en-IE"/>
        </w:rPr>
        <w:t>obs</w:t>
      </w:r>
      <w:proofErr w:type="spellEnd"/>
      <w:r w:rsidRPr="00D74016">
        <w:rPr>
          <w:sz w:val="20"/>
          <w:szCs w:val="20"/>
          <w:lang w:val="en-IE"/>
        </w:rPr>
        <w:t xml:space="preserve"> arm and 1 in RT arm. Grade 2 acute bowel toxicity was noted in 11 patients (8.2%) - 10 (15.9%) in RT arm and 1 (1.4%) in the </w:t>
      </w:r>
      <w:proofErr w:type="spellStart"/>
      <w:r w:rsidRPr="00D74016">
        <w:rPr>
          <w:sz w:val="20"/>
          <w:szCs w:val="20"/>
          <w:lang w:val="en-IE"/>
        </w:rPr>
        <w:t>obs</w:t>
      </w:r>
      <w:proofErr w:type="spellEnd"/>
      <w:r w:rsidRPr="00D74016">
        <w:rPr>
          <w:sz w:val="20"/>
          <w:szCs w:val="20"/>
          <w:lang w:val="en-IE"/>
        </w:rPr>
        <w:t xml:space="preserve"> arm. Overall, grade 2+ acute toxicity was 19.1% (RT) vs 5.6% (</w:t>
      </w:r>
      <w:proofErr w:type="spellStart"/>
      <w:r w:rsidRPr="00D74016">
        <w:rPr>
          <w:sz w:val="20"/>
          <w:szCs w:val="20"/>
          <w:lang w:val="en-IE"/>
        </w:rPr>
        <w:t>obs</w:t>
      </w:r>
      <w:proofErr w:type="spellEnd"/>
      <w:r w:rsidRPr="00D74016">
        <w:rPr>
          <w:sz w:val="20"/>
          <w:szCs w:val="20"/>
          <w:lang w:val="en-IE"/>
        </w:rPr>
        <w:t xml:space="preserve">), p=0.02. The median </w:t>
      </w:r>
      <w:proofErr w:type="gramStart"/>
      <w:r w:rsidRPr="00D74016">
        <w:rPr>
          <w:sz w:val="20"/>
          <w:szCs w:val="20"/>
          <w:lang w:val="en-IE"/>
        </w:rPr>
        <w:t>follow</w:t>
      </w:r>
      <w:proofErr w:type="gramEnd"/>
      <w:r w:rsidRPr="00D74016">
        <w:rPr>
          <w:sz w:val="20"/>
          <w:szCs w:val="20"/>
          <w:lang w:val="en-IE"/>
        </w:rPr>
        <w:t xml:space="preserve"> up was 27 months. Of the 104 patients eligible for late toxicity assessment, grade 3+ adverse events were 10.5% (</w:t>
      </w:r>
      <w:proofErr w:type="spellStart"/>
      <w:r w:rsidRPr="00D74016">
        <w:rPr>
          <w:sz w:val="20"/>
          <w:szCs w:val="20"/>
          <w:lang w:val="en-IE"/>
        </w:rPr>
        <w:t>obs</w:t>
      </w:r>
      <w:proofErr w:type="spellEnd"/>
      <w:r w:rsidRPr="00D74016">
        <w:rPr>
          <w:sz w:val="20"/>
          <w:szCs w:val="20"/>
          <w:lang w:val="en-IE"/>
        </w:rPr>
        <w:t>) vs 8.5% (RT), p=0.9. Grade 1-2 late adverse events were 10.5% (</w:t>
      </w:r>
      <w:proofErr w:type="spellStart"/>
      <w:r w:rsidRPr="00D74016">
        <w:rPr>
          <w:sz w:val="20"/>
          <w:szCs w:val="20"/>
          <w:lang w:val="en-IE"/>
        </w:rPr>
        <w:t>obs</w:t>
      </w:r>
      <w:proofErr w:type="spellEnd"/>
      <w:r w:rsidRPr="00D74016">
        <w:rPr>
          <w:sz w:val="20"/>
          <w:szCs w:val="20"/>
          <w:lang w:val="en-IE"/>
        </w:rPr>
        <w:t>) vs 27.6% (RT), p=0.02. Severe late adverse events were mainly urinary tract obstruction (UTO) and intestinal obstruction (IO).</w:t>
      </w:r>
    </w:p>
    <w:p w:rsidR="009B428A" w:rsidRPr="00D74016" w:rsidRDefault="0007416F" w:rsidP="0056620A">
      <w:pPr>
        <w:spacing w:after="135" w:line="360" w:lineRule="auto"/>
        <w:ind w:left="-5"/>
        <w:jc w:val="left"/>
        <w:rPr>
          <w:sz w:val="20"/>
          <w:szCs w:val="20"/>
          <w:lang w:val="en-IE"/>
        </w:rPr>
        <w:sectPr w:rsidR="009B428A" w:rsidRPr="00D74016" w:rsidSect="0056620A">
          <w:type w:val="continuous"/>
          <w:pgSz w:w="11520" w:h="15479"/>
          <w:pgMar w:top="1440" w:right="1314" w:bottom="1440" w:left="1276" w:header="708" w:footer="708" w:gutter="0"/>
          <w:cols w:space="478"/>
        </w:sectPr>
      </w:pPr>
      <w:r w:rsidRPr="00D74016">
        <w:rPr>
          <w:rFonts w:eastAsia="Calibri"/>
          <w:b/>
          <w:sz w:val="20"/>
          <w:szCs w:val="20"/>
          <w:lang w:val="en-IE"/>
        </w:rPr>
        <w:lastRenderedPageBreak/>
        <w:t>Conclusion:</w:t>
      </w:r>
      <w:r w:rsidRPr="00D74016">
        <w:rPr>
          <w:rFonts w:eastAsia="Calibri"/>
          <w:sz w:val="20"/>
          <w:szCs w:val="20"/>
          <w:lang w:val="en-IE"/>
        </w:rPr>
        <w:t xml:space="preserve"> </w:t>
      </w:r>
      <w:r w:rsidRPr="00D74016">
        <w:rPr>
          <w:sz w:val="20"/>
          <w:szCs w:val="20"/>
          <w:lang w:val="en-IE"/>
        </w:rPr>
        <w:t>In the largest RCT of adjuvant RT post cystectomy and chemotherapy in urothelial MIBC, severe acute and late toxicity were low and similar between the two arms. Mild bowel toxicity was higher in the RT arm. The oncological outcomes are awaite</w:t>
      </w:r>
      <w:r w:rsidR="0056620A">
        <w:rPr>
          <w:sz w:val="20"/>
          <w:szCs w:val="20"/>
          <w:lang w:val="en-IE"/>
        </w:rPr>
        <w:t>d.</w:t>
      </w:r>
    </w:p>
    <w:p w:rsidR="008C47A0" w:rsidRPr="009B428A" w:rsidRDefault="008C47A0" w:rsidP="0056620A">
      <w:pPr>
        <w:tabs>
          <w:tab w:val="center" w:pos="977"/>
          <w:tab w:val="center" w:pos="1782"/>
          <w:tab w:val="center" w:pos="3905"/>
        </w:tabs>
        <w:spacing w:after="317" w:line="360" w:lineRule="auto"/>
        <w:ind w:left="0" w:firstLine="0"/>
        <w:jc w:val="left"/>
      </w:pPr>
    </w:p>
    <w:sectPr w:rsidR="008C47A0" w:rsidRPr="009B428A">
      <w:type w:val="continuous"/>
      <w:pgSz w:w="11520" w:h="15479"/>
      <w:pgMar w:top="1440" w:right="760" w:bottom="1440" w:left="718" w:header="708" w:footer="708" w:gutter="0"/>
      <w:cols w:num="2" w:space="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A0"/>
    <w:rsid w:val="0007416F"/>
    <w:rsid w:val="00171E6C"/>
    <w:rsid w:val="0056620A"/>
    <w:rsid w:val="008C47A0"/>
    <w:rsid w:val="009B428A"/>
    <w:rsid w:val="00B603D2"/>
    <w:rsid w:val="00C24159"/>
    <w:rsid w:val="00D74016"/>
    <w:rsid w:val="00E9454A"/>
    <w:rsid w:val="00EA2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04CE"/>
  <w15:docId w15:val="{A41E1BA6-EC71-45E3-B710-58E7BEBA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 w:line="268" w:lineRule="auto"/>
      <w:ind w:left="10" w:hanging="10"/>
      <w:jc w:val="both"/>
    </w:pPr>
    <w:rPr>
      <w:rFonts w:ascii="Times New Roman" w:eastAsia="Times New Roman" w:hAnsi="Times New Roman" w:cs="Times New Roman"/>
      <w:color w:val="000000"/>
      <w:sz w:val="16"/>
    </w:rPr>
  </w:style>
  <w:style w:type="paragraph" w:styleId="Nadpis1">
    <w:name w:val="heading 1"/>
    <w:next w:val="Normln"/>
    <w:link w:val="Nadpis1Char"/>
    <w:uiPriority w:val="9"/>
    <w:qFormat/>
    <w:pPr>
      <w:keepNext/>
      <w:keepLines/>
      <w:spacing w:after="0"/>
      <w:outlineLvl w:val="0"/>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F5CC-6EB5-4448-BC5D-6FEB7890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2837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Vyroubalová Eva</dc:creator>
  <cp:keywords/>
  <cp:lastModifiedBy>Vyroubalová Eva</cp:lastModifiedBy>
  <cp:revision>8</cp:revision>
  <cp:lastPrinted>2024-11-08T11:43:00Z</cp:lastPrinted>
  <dcterms:created xsi:type="dcterms:W3CDTF">2024-11-06T09:58:00Z</dcterms:created>
  <dcterms:modified xsi:type="dcterms:W3CDTF">2024-11-11T12:12:00Z</dcterms:modified>
</cp:coreProperties>
</file>