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FC9" w:rsidRDefault="00454FC9" w:rsidP="0081489F">
      <w:pPr>
        <w:spacing w:after="97" w:line="360" w:lineRule="auto"/>
        <w:ind w:left="0" w:firstLine="0"/>
        <w:jc w:val="left"/>
        <w:rPr>
          <w:rFonts w:eastAsia="Calibri"/>
          <w:b/>
          <w:sz w:val="24"/>
          <w:szCs w:val="24"/>
          <w:lang w:val="en-IE"/>
        </w:rPr>
      </w:pPr>
      <w:r w:rsidRPr="0080321F">
        <w:rPr>
          <w:rFonts w:eastAsia="Calibri"/>
          <w:b/>
          <w:sz w:val="24"/>
          <w:szCs w:val="24"/>
          <w:lang w:val="en-IE"/>
        </w:rPr>
        <w:t>Prostate Advanced Radiation Technologies Investigating</w:t>
      </w:r>
      <w:r w:rsidRPr="0080321F">
        <w:rPr>
          <w:b/>
          <w:sz w:val="24"/>
          <w:szCs w:val="24"/>
          <w:lang w:val="en-IE"/>
        </w:rPr>
        <w:t xml:space="preserve"> </w:t>
      </w:r>
      <w:r w:rsidRPr="0080321F">
        <w:rPr>
          <w:rFonts w:eastAsia="Calibri"/>
          <w:b/>
          <w:sz w:val="24"/>
          <w:szCs w:val="24"/>
          <w:lang w:val="en-IE"/>
        </w:rPr>
        <w:t>Quality of Life (</w:t>
      </w:r>
      <w:proofErr w:type="spellStart"/>
      <w:r w:rsidRPr="0080321F">
        <w:rPr>
          <w:rFonts w:eastAsia="Calibri"/>
          <w:b/>
          <w:sz w:val="24"/>
          <w:szCs w:val="24"/>
          <w:lang w:val="en-IE"/>
        </w:rPr>
        <w:t>PARTIQoL</w:t>
      </w:r>
      <w:proofErr w:type="spellEnd"/>
      <w:r w:rsidRPr="0080321F">
        <w:rPr>
          <w:rFonts w:eastAsia="Calibri"/>
          <w:b/>
          <w:sz w:val="24"/>
          <w:szCs w:val="24"/>
          <w:lang w:val="en-IE"/>
        </w:rPr>
        <w:t>): Phase III Randomized Clinical</w:t>
      </w:r>
      <w:r w:rsidRPr="0080321F">
        <w:rPr>
          <w:b/>
          <w:szCs w:val="24"/>
          <w:lang w:val="en-IE"/>
        </w:rPr>
        <w:t xml:space="preserve"> </w:t>
      </w:r>
      <w:r w:rsidRPr="0080321F">
        <w:rPr>
          <w:rFonts w:eastAsia="Calibri"/>
          <w:b/>
          <w:sz w:val="24"/>
          <w:szCs w:val="24"/>
          <w:lang w:val="en-IE"/>
        </w:rPr>
        <w:t>Trial of Proton Therapy vs. IMRT for Localized Prostate</w:t>
      </w:r>
      <w:r w:rsidRPr="0080321F">
        <w:rPr>
          <w:b/>
          <w:szCs w:val="24"/>
          <w:lang w:val="en-IE"/>
        </w:rPr>
        <w:t xml:space="preserve"> </w:t>
      </w:r>
      <w:r w:rsidRPr="0080321F">
        <w:rPr>
          <w:rFonts w:eastAsia="Calibri"/>
          <w:b/>
          <w:sz w:val="24"/>
          <w:szCs w:val="24"/>
          <w:lang w:val="en-IE"/>
        </w:rPr>
        <w:t>Cancer</w:t>
      </w:r>
    </w:p>
    <w:p w:rsidR="00D77567" w:rsidRPr="00D77567" w:rsidRDefault="00D77567" w:rsidP="0081489F">
      <w:pPr>
        <w:spacing w:after="45" w:line="360" w:lineRule="auto"/>
        <w:ind w:left="0" w:firstLine="0"/>
        <w:jc w:val="left"/>
        <w:rPr>
          <w:rFonts w:eastAsia="Calibri"/>
          <w:b/>
          <w:sz w:val="20"/>
          <w:szCs w:val="20"/>
          <w:lang w:val="en-IE"/>
        </w:rPr>
      </w:pPr>
    </w:p>
    <w:p w:rsidR="00454FC9" w:rsidRDefault="00454FC9" w:rsidP="0081489F">
      <w:pPr>
        <w:spacing w:after="45" w:line="360" w:lineRule="auto"/>
        <w:ind w:left="0" w:firstLine="0"/>
        <w:jc w:val="left"/>
        <w:rPr>
          <w:color w:val="0080AB"/>
          <w:sz w:val="20"/>
          <w:szCs w:val="20"/>
          <w:vertAlign w:val="superscript"/>
          <w:lang w:val="en-IE"/>
        </w:rPr>
      </w:pPr>
      <w:r w:rsidRPr="004378AA">
        <w:rPr>
          <w:sz w:val="20"/>
          <w:szCs w:val="20"/>
          <w:lang w:val="en-IE"/>
        </w:rPr>
        <w:t>J.A. Efstathiou,</w:t>
      </w:r>
      <w:r w:rsidRPr="004378AA">
        <w:rPr>
          <w:color w:val="0080AB"/>
          <w:sz w:val="20"/>
          <w:szCs w:val="20"/>
          <w:vertAlign w:val="superscript"/>
          <w:lang w:val="en-IE"/>
        </w:rPr>
        <w:t xml:space="preserve">1 </w:t>
      </w:r>
      <w:r w:rsidRPr="004378AA">
        <w:rPr>
          <w:sz w:val="20"/>
          <w:szCs w:val="20"/>
          <w:lang w:val="en-IE"/>
        </w:rPr>
        <w:t>B.</w:t>
      </w:r>
      <w:r w:rsidRPr="0080321F">
        <w:rPr>
          <w:sz w:val="20"/>
          <w:szCs w:val="20"/>
          <w:lang w:val="en-IE"/>
        </w:rPr>
        <w:t>Y. Yeap,</w:t>
      </w:r>
      <w:r w:rsidRPr="0080321F">
        <w:rPr>
          <w:color w:val="0080AB"/>
          <w:sz w:val="20"/>
          <w:szCs w:val="20"/>
          <w:vertAlign w:val="superscript"/>
          <w:lang w:val="en-IE"/>
        </w:rPr>
        <w:t xml:space="preserve">2 </w:t>
      </w:r>
      <w:r w:rsidRPr="0080321F">
        <w:rPr>
          <w:sz w:val="20"/>
          <w:szCs w:val="20"/>
          <w:lang w:val="en-IE"/>
        </w:rPr>
        <w:t>J.M. Michalski,</w:t>
      </w:r>
      <w:r w:rsidRPr="0080321F">
        <w:rPr>
          <w:color w:val="0080AB"/>
          <w:sz w:val="20"/>
          <w:szCs w:val="20"/>
          <w:vertAlign w:val="superscript"/>
          <w:lang w:val="en-IE"/>
        </w:rPr>
        <w:t xml:space="preserve">3 </w:t>
      </w:r>
      <w:r w:rsidRPr="0080321F">
        <w:rPr>
          <w:sz w:val="20"/>
          <w:szCs w:val="20"/>
          <w:lang w:val="en-IE"/>
        </w:rPr>
        <w:t>N. Horick,</w:t>
      </w:r>
      <w:r w:rsidRPr="0080321F">
        <w:rPr>
          <w:color w:val="0080AB"/>
          <w:sz w:val="20"/>
          <w:szCs w:val="20"/>
          <w:vertAlign w:val="superscript"/>
          <w:lang w:val="en-IE"/>
        </w:rPr>
        <w:t xml:space="preserve">2 </w:t>
      </w:r>
      <w:r w:rsidRPr="0080321F">
        <w:rPr>
          <w:sz w:val="20"/>
          <w:szCs w:val="20"/>
          <w:lang w:val="en-IE"/>
        </w:rPr>
        <w:t>A.L. Zietman,</w:t>
      </w:r>
      <w:r w:rsidRPr="0080321F">
        <w:rPr>
          <w:color w:val="0080AB"/>
          <w:sz w:val="20"/>
          <w:szCs w:val="20"/>
          <w:vertAlign w:val="superscript"/>
          <w:lang w:val="en-IE"/>
        </w:rPr>
        <w:t>1</w:t>
      </w:r>
      <w:r w:rsidRPr="0080321F">
        <w:rPr>
          <w:sz w:val="20"/>
          <w:szCs w:val="20"/>
          <w:lang w:val="en-IE"/>
        </w:rPr>
        <w:t>J.P. Christodouleas,</w:t>
      </w:r>
      <w:r w:rsidRPr="0080321F">
        <w:rPr>
          <w:color w:val="0080AB"/>
          <w:sz w:val="20"/>
          <w:szCs w:val="20"/>
          <w:vertAlign w:val="superscript"/>
          <w:lang w:val="en-IE"/>
        </w:rPr>
        <w:t xml:space="preserve">4 </w:t>
      </w:r>
      <w:r w:rsidRPr="0080321F">
        <w:rPr>
          <w:sz w:val="20"/>
          <w:szCs w:val="20"/>
          <w:lang w:val="en-IE"/>
        </w:rPr>
        <w:t>S.C. Kamran,</w:t>
      </w:r>
      <w:r w:rsidRPr="0080321F">
        <w:rPr>
          <w:color w:val="0080AB"/>
          <w:sz w:val="20"/>
          <w:szCs w:val="20"/>
          <w:vertAlign w:val="superscript"/>
          <w:lang w:val="en-IE"/>
        </w:rPr>
        <w:t xml:space="preserve">1 </w:t>
      </w:r>
      <w:r w:rsidRPr="0080321F">
        <w:rPr>
          <w:sz w:val="20"/>
          <w:szCs w:val="20"/>
          <w:lang w:val="en-IE"/>
        </w:rPr>
        <w:t>R.R. Parikh,</w:t>
      </w:r>
      <w:r w:rsidRPr="0080321F">
        <w:rPr>
          <w:color w:val="0080AB"/>
          <w:sz w:val="20"/>
          <w:szCs w:val="20"/>
          <w:vertAlign w:val="superscript"/>
          <w:lang w:val="en-IE"/>
        </w:rPr>
        <w:t xml:space="preserve">5 </w:t>
      </w:r>
      <w:r w:rsidRPr="0080321F">
        <w:rPr>
          <w:sz w:val="20"/>
          <w:szCs w:val="20"/>
          <w:lang w:val="en-IE"/>
        </w:rPr>
        <w:t>N. Vapiwala,</w:t>
      </w:r>
      <w:r w:rsidRPr="0080321F">
        <w:rPr>
          <w:color w:val="0080AB"/>
          <w:sz w:val="20"/>
          <w:szCs w:val="20"/>
          <w:vertAlign w:val="superscript"/>
          <w:lang w:val="en-IE"/>
        </w:rPr>
        <w:t>4</w:t>
      </w:r>
      <w:r w:rsidRPr="0080321F">
        <w:rPr>
          <w:sz w:val="20"/>
          <w:szCs w:val="20"/>
          <w:vertAlign w:val="superscript"/>
          <w:lang w:val="en-IE"/>
        </w:rPr>
        <w:t xml:space="preserve"> </w:t>
      </w:r>
      <w:r w:rsidRPr="0080321F">
        <w:rPr>
          <w:sz w:val="20"/>
          <w:szCs w:val="20"/>
          <w:lang w:val="en-IE"/>
        </w:rPr>
        <w:t>S.A. Mihalcik,</w:t>
      </w:r>
      <w:r w:rsidRPr="0080321F">
        <w:rPr>
          <w:color w:val="0080AB"/>
          <w:sz w:val="20"/>
          <w:szCs w:val="20"/>
          <w:vertAlign w:val="superscript"/>
          <w:lang w:val="en-IE"/>
        </w:rPr>
        <w:t xml:space="preserve">6 </w:t>
      </w:r>
      <w:r w:rsidRPr="0080321F">
        <w:rPr>
          <w:sz w:val="20"/>
          <w:szCs w:val="20"/>
          <w:lang w:val="en-IE"/>
        </w:rPr>
        <w:t>D.T. Miyamoto,</w:t>
      </w:r>
      <w:r w:rsidRPr="0080321F">
        <w:rPr>
          <w:color w:val="0080AB"/>
          <w:sz w:val="20"/>
          <w:szCs w:val="20"/>
          <w:vertAlign w:val="superscript"/>
          <w:lang w:val="en-IE"/>
        </w:rPr>
        <w:t xml:space="preserve">1 </w:t>
      </w:r>
      <w:r w:rsidRPr="0080321F">
        <w:rPr>
          <w:sz w:val="20"/>
          <w:szCs w:val="20"/>
          <w:lang w:val="en-IE"/>
        </w:rPr>
        <w:t>J. Zeng,</w:t>
      </w:r>
      <w:r w:rsidRPr="0080321F">
        <w:rPr>
          <w:color w:val="0080AB"/>
          <w:sz w:val="20"/>
          <w:szCs w:val="20"/>
          <w:vertAlign w:val="superscript"/>
          <w:lang w:val="en-IE"/>
        </w:rPr>
        <w:t xml:space="preserve">7 </w:t>
      </w:r>
      <w:r w:rsidRPr="0080321F">
        <w:rPr>
          <w:sz w:val="20"/>
          <w:szCs w:val="20"/>
          <w:lang w:val="en-IE"/>
        </w:rPr>
        <w:t>H.A. Gay,</w:t>
      </w:r>
      <w:r w:rsidRPr="0080321F">
        <w:rPr>
          <w:color w:val="0080AB"/>
          <w:sz w:val="20"/>
          <w:szCs w:val="20"/>
          <w:vertAlign w:val="superscript"/>
          <w:lang w:val="en-IE"/>
        </w:rPr>
        <w:t xml:space="preserve">3 </w:t>
      </w:r>
      <w:r w:rsidRPr="0080321F">
        <w:rPr>
          <w:sz w:val="20"/>
          <w:szCs w:val="20"/>
          <w:lang w:val="en-IE"/>
        </w:rPr>
        <w:t>T.M. Pisansky,</w:t>
      </w:r>
      <w:r w:rsidRPr="0080321F">
        <w:rPr>
          <w:color w:val="0080AB"/>
          <w:sz w:val="20"/>
          <w:szCs w:val="20"/>
          <w:vertAlign w:val="superscript"/>
          <w:lang w:val="en-IE"/>
        </w:rPr>
        <w:t>8</w:t>
      </w:r>
      <w:r w:rsidRPr="0080321F">
        <w:rPr>
          <w:sz w:val="20"/>
          <w:szCs w:val="20"/>
          <w:lang w:val="en-IE"/>
        </w:rPr>
        <w:t>M.V. Mishra,</w:t>
      </w:r>
      <w:r w:rsidRPr="0080321F">
        <w:rPr>
          <w:color w:val="0080AB"/>
          <w:sz w:val="20"/>
          <w:szCs w:val="20"/>
          <w:vertAlign w:val="superscript"/>
          <w:lang w:val="en-IE"/>
        </w:rPr>
        <w:t xml:space="preserve">9 </w:t>
      </w:r>
      <w:r w:rsidRPr="0080321F">
        <w:rPr>
          <w:sz w:val="20"/>
          <w:szCs w:val="20"/>
          <w:lang w:val="en-IE"/>
        </w:rPr>
        <w:t>A.J. Wisdom,</w:t>
      </w:r>
      <w:r w:rsidRPr="0080321F">
        <w:rPr>
          <w:color w:val="0080AB"/>
          <w:sz w:val="20"/>
          <w:szCs w:val="20"/>
          <w:vertAlign w:val="superscript"/>
          <w:lang w:val="en-IE"/>
        </w:rPr>
        <w:t xml:space="preserve">1 </w:t>
      </w:r>
      <w:r w:rsidRPr="0080321F">
        <w:rPr>
          <w:sz w:val="20"/>
          <w:szCs w:val="20"/>
          <w:lang w:val="en-IE"/>
        </w:rPr>
        <w:t>D.E. Spratt,</w:t>
      </w:r>
      <w:r w:rsidRPr="0080321F">
        <w:rPr>
          <w:color w:val="0080AB"/>
          <w:sz w:val="20"/>
          <w:szCs w:val="20"/>
          <w:vertAlign w:val="superscript"/>
          <w:lang w:val="en-IE"/>
        </w:rPr>
        <w:t xml:space="preserve">10 </w:t>
      </w:r>
      <w:r w:rsidRPr="0080321F">
        <w:rPr>
          <w:sz w:val="20"/>
          <w:szCs w:val="20"/>
          <w:lang w:val="en-IE"/>
        </w:rPr>
        <w:t>N.P. Mendenhall,</w:t>
      </w:r>
      <w:r w:rsidRPr="0080321F">
        <w:rPr>
          <w:color w:val="0080AB"/>
          <w:sz w:val="20"/>
          <w:szCs w:val="20"/>
          <w:vertAlign w:val="superscript"/>
          <w:lang w:val="en-IE"/>
        </w:rPr>
        <w:t>11</w:t>
      </w:r>
      <w:r w:rsidRPr="0080321F">
        <w:rPr>
          <w:sz w:val="20"/>
          <w:szCs w:val="20"/>
          <w:vertAlign w:val="superscript"/>
          <w:lang w:val="en-IE"/>
        </w:rPr>
        <w:t xml:space="preserve"> </w:t>
      </w:r>
      <w:r w:rsidRPr="0080321F">
        <w:rPr>
          <w:sz w:val="20"/>
          <w:szCs w:val="20"/>
          <w:lang w:val="en-IE"/>
        </w:rPr>
        <w:t>E.M. Soffen,</w:t>
      </w:r>
      <w:r w:rsidRPr="0080321F">
        <w:rPr>
          <w:color w:val="0080AB"/>
          <w:sz w:val="20"/>
          <w:szCs w:val="20"/>
          <w:vertAlign w:val="superscript"/>
          <w:lang w:val="en-IE"/>
        </w:rPr>
        <w:t xml:space="preserve">12 </w:t>
      </w:r>
      <w:r w:rsidRPr="0080321F">
        <w:rPr>
          <w:sz w:val="20"/>
          <w:szCs w:val="20"/>
          <w:lang w:val="en-IE"/>
        </w:rPr>
        <w:t>and J.E. Bekelman</w:t>
      </w:r>
      <w:r w:rsidRPr="0080321F">
        <w:rPr>
          <w:color w:val="0080AB"/>
          <w:sz w:val="20"/>
          <w:szCs w:val="20"/>
          <w:vertAlign w:val="superscript"/>
          <w:lang w:val="en-IE"/>
        </w:rPr>
        <w:t>4</w:t>
      </w:r>
    </w:p>
    <w:p w:rsidR="00D77567" w:rsidRDefault="00D77567" w:rsidP="0081489F">
      <w:pPr>
        <w:spacing w:after="15" w:line="360" w:lineRule="auto"/>
        <w:ind w:left="0" w:firstLine="0"/>
        <w:jc w:val="left"/>
        <w:rPr>
          <w:rFonts w:eastAsia="Calibri"/>
          <w:b/>
          <w:sz w:val="20"/>
          <w:szCs w:val="20"/>
          <w:lang w:val="en-IE"/>
        </w:rPr>
      </w:pPr>
    </w:p>
    <w:p w:rsidR="00454FC9" w:rsidRPr="0080321F" w:rsidRDefault="00454FC9" w:rsidP="0081489F">
      <w:pPr>
        <w:spacing w:after="45" w:line="360" w:lineRule="auto"/>
        <w:ind w:left="0" w:firstLine="0"/>
        <w:jc w:val="left"/>
        <w:rPr>
          <w:i/>
          <w:sz w:val="20"/>
          <w:szCs w:val="20"/>
          <w:lang w:val="en-IE"/>
        </w:rPr>
      </w:pPr>
      <w:r w:rsidRPr="007D47A4">
        <w:rPr>
          <w:i/>
          <w:sz w:val="20"/>
          <w:szCs w:val="20"/>
          <w:vertAlign w:val="superscript"/>
          <w:lang w:val="en-IE"/>
        </w:rPr>
        <w:t>1</w:t>
      </w:r>
      <w:r w:rsidRPr="007D47A4">
        <w:rPr>
          <w:i/>
          <w:sz w:val="20"/>
          <w:szCs w:val="20"/>
          <w:lang w:val="en-IE"/>
        </w:rPr>
        <w:t>Department of Radiation Oncology, Massachusetts General Hospital, Harvard Medical School, Boston, MA,</w:t>
      </w:r>
      <w:r w:rsidR="00FB4B4A" w:rsidRPr="007605FD">
        <w:rPr>
          <w:i/>
          <w:sz w:val="20"/>
          <w:szCs w:val="20"/>
          <w:vertAlign w:val="superscript"/>
          <w:lang w:val="en-IE"/>
        </w:rPr>
        <w:t xml:space="preserve"> </w:t>
      </w:r>
      <w:r w:rsidRPr="007605FD">
        <w:rPr>
          <w:i/>
          <w:sz w:val="20"/>
          <w:szCs w:val="20"/>
          <w:vertAlign w:val="superscript"/>
          <w:lang w:val="en-IE"/>
        </w:rPr>
        <w:t>2</w:t>
      </w:r>
      <w:r>
        <w:rPr>
          <w:i/>
          <w:sz w:val="20"/>
          <w:szCs w:val="20"/>
          <w:lang w:val="en-IE"/>
        </w:rPr>
        <w:t xml:space="preserve"> </w:t>
      </w:r>
      <w:r w:rsidRPr="0080321F">
        <w:rPr>
          <w:i/>
          <w:sz w:val="20"/>
          <w:szCs w:val="20"/>
          <w:lang w:val="en-IE"/>
        </w:rPr>
        <w:t xml:space="preserve">Department of Medicine, Massachusetts General Hospital, Harvard Medical School, Boston, MA, </w:t>
      </w:r>
      <w:r w:rsidRPr="0080321F">
        <w:rPr>
          <w:i/>
          <w:sz w:val="20"/>
          <w:szCs w:val="20"/>
          <w:vertAlign w:val="superscript"/>
          <w:lang w:val="en-IE"/>
        </w:rPr>
        <w:t>3</w:t>
      </w:r>
      <w:r w:rsidRPr="0080321F">
        <w:rPr>
          <w:i/>
          <w:sz w:val="20"/>
          <w:szCs w:val="20"/>
          <w:lang w:val="en-IE"/>
        </w:rPr>
        <w:t xml:space="preserve">Department of Radiation Oncology, Washington University School of Medicine, St. Louis, MO, </w:t>
      </w:r>
      <w:r w:rsidRPr="0080321F">
        <w:rPr>
          <w:i/>
          <w:sz w:val="20"/>
          <w:szCs w:val="20"/>
          <w:vertAlign w:val="superscript"/>
          <w:lang w:val="en-IE"/>
        </w:rPr>
        <w:t>4</w:t>
      </w:r>
      <w:r w:rsidRPr="0080321F">
        <w:rPr>
          <w:i/>
          <w:sz w:val="20"/>
          <w:szCs w:val="20"/>
          <w:lang w:val="en-IE"/>
        </w:rPr>
        <w:t>Department of Radiation Oncology, University of Pennsylvania, Ph</w:t>
      </w:r>
      <w:bookmarkStart w:id="0" w:name="_GoBack"/>
      <w:bookmarkEnd w:id="0"/>
      <w:r w:rsidRPr="0080321F">
        <w:rPr>
          <w:i/>
          <w:sz w:val="20"/>
          <w:szCs w:val="20"/>
          <w:lang w:val="en-IE"/>
        </w:rPr>
        <w:t xml:space="preserve">iladelphia, PA, </w:t>
      </w:r>
      <w:r w:rsidRPr="0080321F">
        <w:rPr>
          <w:i/>
          <w:sz w:val="20"/>
          <w:szCs w:val="20"/>
          <w:vertAlign w:val="superscript"/>
          <w:lang w:val="en-IE"/>
        </w:rPr>
        <w:t>5</w:t>
      </w:r>
      <w:r w:rsidRPr="0080321F">
        <w:rPr>
          <w:i/>
          <w:sz w:val="20"/>
          <w:szCs w:val="20"/>
          <w:lang w:val="en-IE"/>
        </w:rPr>
        <w:t>Department of</w:t>
      </w:r>
    </w:p>
    <w:p w:rsidR="00454FC9" w:rsidRDefault="00454FC9" w:rsidP="0081489F">
      <w:pPr>
        <w:spacing w:after="13" w:line="360" w:lineRule="auto"/>
        <w:ind w:left="0" w:firstLine="0"/>
        <w:jc w:val="left"/>
        <w:rPr>
          <w:rFonts w:eastAsia="Calibri"/>
          <w:b/>
          <w:sz w:val="20"/>
          <w:szCs w:val="20"/>
          <w:lang w:val="en-IE"/>
        </w:rPr>
      </w:pPr>
      <w:r w:rsidRPr="0080321F">
        <w:rPr>
          <w:i/>
          <w:sz w:val="20"/>
          <w:szCs w:val="20"/>
          <w:lang w:val="en-IE"/>
        </w:rPr>
        <w:t xml:space="preserve">Radiation Oncology, Rutgers Cancer Institute of New Jersey, New Brunswick, NJ, </w:t>
      </w:r>
      <w:r w:rsidRPr="0080321F">
        <w:rPr>
          <w:i/>
          <w:sz w:val="20"/>
          <w:szCs w:val="20"/>
          <w:vertAlign w:val="superscript"/>
          <w:lang w:val="en-IE"/>
        </w:rPr>
        <w:t>6</w:t>
      </w:r>
      <w:r w:rsidRPr="0080321F">
        <w:rPr>
          <w:i/>
          <w:sz w:val="20"/>
          <w:szCs w:val="20"/>
          <w:lang w:val="en-IE"/>
        </w:rPr>
        <w:t xml:space="preserve">Department of Radiation Oncology, </w:t>
      </w:r>
      <w:proofErr w:type="spellStart"/>
      <w:r w:rsidRPr="0080321F">
        <w:rPr>
          <w:i/>
          <w:sz w:val="20"/>
          <w:szCs w:val="20"/>
          <w:lang w:val="en-IE"/>
        </w:rPr>
        <w:t>Northwestern</w:t>
      </w:r>
      <w:proofErr w:type="spellEnd"/>
      <w:r w:rsidRPr="0080321F">
        <w:rPr>
          <w:i/>
          <w:sz w:val="20"/>
          <w:szCs w:val="20"/>
          <w:lang w:val="en-IE"/>
        </w:rPr>
        <w:t xml:space="preserve"> Medicine, Feinberg School of Medicine, Chicago, IL, </w:t>
      </w:r>
      <w:r w:rsidRPr="0080321F">
        <w:rPr>
          <w:i/>
          <w:sz w:val="20"/>
          <w:szCs w:val="20"/>
          <w:vertAlign w:val="superscript"/>
          <w:lang w:val="en-IE"/>
        </w:rPr>
        <w:t>7</w:t>
      </w:r>
      <w:r w:rsidRPr="0080321F">
        <w:rPr>
          <w:i/>
          <w:sz w:val="20"/>
          <w:szCs w:val="20"/>
          <w:lang w:val="en-IE"/>
        </w:rPr>
        <w:t xml:space="preserve">Department of Radiation Oncology, University of Washington - Fred Hutchinson Cancer </w:t>
      </w:r>
      <w:proofErr w:type="spellStart"/>
      <w:r w:rsidRPr="0080321F">
        <w:rPr>
          <w:i/>
          <w:sz w:val="20"/>
          <w:szCs w:val="20"/>
          <w:lang w:val="en-IE"/>
        </w:rPr>
        <w:t>Center</w:t>
      </w:r>
      <w:proofErr w:type="spellEnd"/>
      <w:r w:rsidRPr="0080321F">
        <w:rPr>
          <w:i/>
          <w:sz w:val="20"/>
          <w:szCs w:val="20"/>
          <w:lang w:val="en-IE"/>
        </w:rPr>
        <w:t>, Seattle, WA,</w:t>
      </w:r>
    </w:p>
    <w:p w:rsidR="00454FC9" w:rsidRDefault="00454FC9" w:rsidP="0081489F">
      <w:pPr>
        <w:spacing w:after="15" w:line="360" w:lineRule="auto"/>
        <w:ind w:left="0" w:firstLine="0"/>
        <w:jc w:val="left"/>
        <w:rPr>
          <w:i/>
          <w:sz w:val="20"/>
          <w:szCs w:val="20"/>
          <w:lang w:val="en-IE"/>
        </w:rPr>
      </w:pPr>
      <w:r w:rsidRPr="00454FC9">
        <w:rPr>
          <w:i/>
          <w:sz w:val="20"/>
          <w:szCs w:val="20"/>
          <w:vertAlign w:val="superscript"/>
          <w:lang w:val="en-IE"/>
        </w:rPr>
        <w:t>8</w:t>
      </w:r>
      <w:r w:rsidRPr="0080321F">
        <w:rPr>
          <w:i/>
          <w:sz w:val="20"/>
          <w:szCs w:val="20"/>
          <w:lang w:val="en-IE"/>
        </w:rPr>
        <w:t xml:space="preserve">Department of Radiation Oncology, Mayo Clinic, Rochester, MN, </w:t>
      </w:r>
      <w:r w:rsidRPr="007605FD">
        <w:rPr>
          <w:i/>
          <w:sz w:val="20"/>
          <w:szCs w:val="20"/>
          <w:vertAlign w:val="superscript"/>
          <w:lang w:val="en-IE"/>
        </w:rPr>
        <w:t>9</w:t>
      </w:r>
      <w:r w:rsidRPr="0080321F">
        <w:rPr>
          <w:i/>
          <w:sz w:val="20"/>
          <w:szCs w:val="20"/>
          <w:lang w:val="en-IE"/>
        </w:rPr>
        <w:t xml:space="preserve"> Department of Radiation Oncology, University of Maryland School of Medicine, Baltimore, MD, </w:t>
      </w:r>
      <w:r w:rsidRPr="0080321F">
        <w:rPr>
          <w:i/>
          <w:sz w:val="20"/>
          <w:szCs w:val="20"/>
          <w:vertAlign w:val="superscript"/>
          <w:lang w:val="en-IE"/>
        </w:rPr>
        <w:t>10</w:t>
      </w:r>
      <w:r w:rsidRPr="0080321F">
        <w:rPr>
          <w:i/>
          <w:sz w:val="20"/>
          <w:szCs w:val="20"/>
          <w:lang w:val="en-IE"/>
        </w:rPr>
        <w:t xml:space="preserve">Department of Radiation Oncology, University Hospitals Seidman Cancer </w:t>
      </w:r>
      <w:proofErr w:type="spellStart"/>
      <w:r w:rsidRPr="0080321F">
        <w:rPr>
          <w:i/>
          <w:sz w:val="20"/>
          <w:szCs w:val="20"/>
          <w:lang w:val="en-IE"/>
        </w:rPr>
        <w:t>Center</w:t>
      </w:r>
      <w:proofErr w:type="spellEnd"/>
      <w:r w:rsidRPr="0080321F">
        <w:rPr>
          <w:i/>
          <w:sz w:val="20"/>
          <w:szCs w:val="20"/>
          <w:lang w:val="en-IE"/>
        </w:rPr>
        <w:t>, Case Western Reserve University, Cleveland, OH,</w:t>
      </w:r>
      <w:r w:rsidRPr="007605FD">
        <w:rPr>
          <w:i/>
          <w:sz w:val="20"/>
          <w:szCs w:val="20"/>
          <w:vertAlign w:val="superscript"/>
          <w:lang w:val="en-IE"/>
        </w:rPr>
        <w:t>11</w:t>
      </w:r>
      <w:r w:rsidRPr="0080321F">
        <w:rPr>
          <w:i/>
          <w:sz w:val="20"/>
          <w:szCs w:val="20"/>
          <w:lang w:val="en-IE"/>
        </w:rPr>
        <w:t xml:space="preserve"> Department of Radiation Oncology, University of Florida College of Medicine, Gainesville, FL, </w:t>
      </w:r>
      <w:r w:rsidRPr="0080321F">
        <w:rPr>
          <w:i/>
          <w:sz w:val="20"/>
          <w:szCs w:val="20"/>
          <w:vertAlign w:val="superscript"/>
          <w:lang w:val="en-IE"/>
        </w:rPr>
        <w:t>12</w:t>
      </w:r>
      <w:r w:rsidRPr="0080321F">
        <w:rPr>
          <w:i/>
          <w:sz w:val="20"/>
          <w:szCs w:val="20"/>
          <w:lang w:val="en-IE"/>
        </w:rPr>
        <w:t xml:space="preserve">Princeton Radiation Oncology, </w:t>
      </w:r>
      <w:proofErr w:type="spellStart"/>
      <w:r w:rsidRPr="0080321F">
        <w:rPr>
          <w:i/>
          <w:sz w:val="20"/>
          <w:szCs w:val="20"/>
          <w:lang w:val="en-IE"/>
        </w:rPr>
        <w:t>Astera</w:t>
      </w:r>
      <w:proofErr w:type="spellEnd"/>
      <w:r w:rsidRPr="0080321F">
        <w:rPr>
          <w:i/>
          <w:sz w:val="20"/>
          <w:szCs w:val="20"/>
          <w:lang w:val="en-IE"/>
        </w:rPr>
        <w:t xml:space="preserve"> Cancer Care, Jamesburg, NJ</w:t>
      </w:r>
    </w:p>
    <w:p w:rsidR="00FB4B4A" w:rsidRDefault="00FB4B4A" w:rsidP="0081489F">
      <w:pPr>
        <w:spacing w:after="15" w:line="360" w:lineRule="auto"/>
        <w:ind w:left="0" w:firstLine="0"/>
        <w:jc w:val="left"/>
        <w:rPr>
          <w:rFonts w:eastAsia="Calibri"/>
          <w:b/>
          <w:sz w:val="20"/>
          <w:szCs w:val="20"/>
          <w:lang w:val="en-IE"/>
        </w:rPr>
      </w:pPr>
    </w:p>
    <w:p w:rsidR="00454FC9" w:rsidRPr="0080321F" w:rsidRDefault="00454FC9" w:rsidP="0081489F">
      <w:pPr>
        <w:spacing w:after="15" w:line="360" w:lineRule="auto"/>
        <w:ind w:left="0" w:firstLine="0"/>
        <w:jc w:val="left"/>
        <w:rPr>
          <w:sz w:val="20"/>
          <w:szCs w:val="20"/>
          <w:lang w:val="en-IE"/>
        </w:rPr>
      </w:pPr>
      <w:r w:rsidRPr="0080321F">
        <w:rPr>
          <w:rFonts w:eastAsia="Calibri"/>
          <w:b/>
          <w:sz w:val="20"/>
          <w:szCs w:val="20"/>
          <w:lang w:val="en-IE"/>
        </w:rPr>
        <w:t>Purpose/Objective(s):</w:t>
      </w:r>
      <w:r w:rsidRPr="0080321F">
        <w:rPr>
          <w:rFonts w:eastAsia="Calibri"/>
          <w:sz w:val="20"/>
          <w:szCs w:val="20"/>
          <w:lang w:val="en-IE"/>
        </w:rPr>
        <w:t xml:space="preserve"> </w:t>
      </w:r>
      <w:r w:rsidRPr="0080321F">
        <w:rPr>
          <w:sz w:val="20"/>
          <w:szCs w:val="20"/>
          <w:lang w:val="en-IE"/>
        </w:rPr>
        <w:t xml:space="preserve">Patients with localized prostate cancer have several treatment options including external beam radiotherapy with either photons or protons. Proton beam therapy (PBT) has certain </w:t>
      </w:r>
      <w:proofErr w:type="spellStart"/>
      <w:r w:rsidRPr="0080321F">
        <w:rPr>
          <w:sz w:val="20"/>
          <w:szCs w:val="20"/>
          <w:lang w:val="en-IE"/>
        </w:rPr>
        <w:t>dosimetric</w:t>
      </w:r>
      <w:proofErr w:type="spellEnd"/>
      <w:r w:rsidRPr="0080321F">
        <w:rPr>
          <w:sz w:val="20"/>
          <w:szCs w:val="20"/>
          <w:lang w:val="en-IE"/>
        </w:rPr>
        <w:t xml:space="preserve"> advantages with the potential to reduce treatment-associated morbidity and improve oncologic outcomes, but it is generally more resource intensive than intensity modulated radiation therapy (IMRT). To address the hypothesis that PBT results in improved patient-reported outcomes (PROs), </w:t>
      </w:r>
      <w:proofErr w:type="spellStart"/>
      <w:r w:rsidRPr="0080321F">
        <w:rPr>
          <w:sz w:val="20"/>
          <w:szCs w:val="20"/>
          <w:lang w:val="en-IE"/>
        </w:rPr>
        <w:t>PARTIQoL</w:t>
      </w:r>
      <w:proofErr w:type="spellEnd"/>
      <w:r w:rsidRPr="0080321F">
        <w:rPr>
          <w:sz w:val="20"/>
          <w:szCs w:val="20"/>
          <w:lang w:val="en-IE"/>
        </w:rPr>
        <w:t xml:space="preserve"> (NCT01617161) was conducted as a multi-</w:t>
      </w:r>
      <w:proofErr w:type="spellStart"/>
      <w:r w:rsidRPr="0080321F">
        <w:rPr>
          <w:sz w:val="20"/>
          <w:szCs w:val="20"/>
          <w:lang w:val="en-IE"/>
        </w:rPr>
        <w:t>center</w:t>
      </w:r>
      <w:proofErr w:type="spellEnd"/>
      <w:r w:rsidRPr="0080321F">
        <w:rPr>
          <w:sz w:val="20"/>
          <w:szCs w:val="20"/>
          <w:lang w:val="en-IE"/>
        </w:rPr>
        <w:t xml:space="preserve"> phase 3 randomized trial comparing the two modalities.</w:t>
      </w:r>
    </w:p>
    <w:p w:rsidR="00454FC9" w:rsidRDefault="00454FC9" w:rsidP="0081489F">
      <w:pPr>
        <w:spacing w:line="360" w:lineRule="auto"/>
        <w:ind w:left="0" w:right="-14" w:firstLine="0"/>
        <w:jc w:val="left"/>
        <w:rPr>
          <w:sz w:val="20"/>
          <w:szCs w:val="20"/>
          <w:lang w:val="en-IE"/>
        </w:rPr>
      </w:pPr>
      <w:r w:rsidRPr="0080321F">
        <w:rPr>
          <w:rFonts w:eastAsia="Calibri"/>
          <w:b/>
          <w:sz w:val="20"/>
          <w:szCs w:val="20"/>
          <w:lang w:val="en-IE"/>
        </w:rPr>
        <w:t>Materials/Methods:</w:t>
      </w:r>
      <w:r w:rsidRPr="0080321F">
        <w:rPr>
          <w:rFonts w:eastAsia="Calibri"/>
          <w:sz w:val="20"/>
          <w:szCs w:val="20"/>
          <w:lang w:val="en-IE"/>
        </w:rPr>
        <w:t xml:space="preserve"> </w:t>
      </w:r>
      <w:r w:rsidRPr="0080321F">
        <w:rPr>
          <w:sz w:val="20"/>
          <w:szCs w:val="20"/>
          <w:lang w:val="en-IE"/>
        </w:rPr>
        <w:t>Patients with intermediate- or low-risk prostate cancer were randomized to PBT or IMRT, without hormonal therapy, strati</w:t>
      </w:r>
      <w:r w:rsidRPr="0080321F">
        <w:rPr>
          <w:rFonts w:eastAsia="Calibri"/>
          <w:sz w:val="20"/>
          <w:szCs w:val="20"/>
          <w:lang w:val="en-IE"/>
        </w:rPr>
        <w:t>fi</w:t>
      </w:r>
      <w:r w:rsidRPr="0080321F">
        <w:rPr>
          <w:sz w:val="20"/>
          <w:szCs w:val="20"/>
          <w:lang w:val="en-IE"/>
        </w:rPr>
        <w:t xml:space="preserve">ed for institution, age, rectal spacer use, and fractionation (79.2 </w:t>
      </w:r>
      <w:proofErr w:type="spellStart"/>
      <w:r w:rsidRPr="0080321F">
        <w:rPr>
          <w:sz w:val="20"/>
          <w:szCs w:val="20"/>
          <w:lang w:val="en-IE"/>
        </w:rPr>
        <w:t>Gy</w:t>
      </w:r>
      <w:proofErr w:type="spellEnd"/>
      <w:r w:rsidRPr="0080321F">
        <w:rPr>
          <w:sz w:val="20"/>
          <w:szCs w:val="20"/>
          <w:lang w:val="en-IE"/>
        </w:rPr>
        <w:t xml:space="preserve">/44 fractions vs 70 </w:t>
      </w:r>
      <w:proofErr w:type="spellStart"/>
      <w:r w:rsidRPr="0080321F">
        <w:rPr>
          <w:sz w:val="20"/>
          <w:szCs w:val="20"/>
          <w:lang w:val="en-IE"/>
        </w:rPr>
        <w:t>Gy</w:t>
      </w:r>
      <w:proofErr w:type="spellEnd"/>
      <w:r w:rsidRPr="0080321F">
        <w:rPr>
          <w:sz w:val="20"/>
          <w:szCs w:val="20"/>
          <w:lang w:val="en-IE"/>
        </w:rPr>
        <w:t>/28 fractions). Participants were followed longitudinally to assess PROs of bowel, urinary, and sexual function for 60 months (</w:t>
      </w:r>
      <w:proofErr w:type="spellStart"/>
      <w:r w:rsidRPr="0080321F">
        <w:rPr>
          <w:sz w:val="20"/>
          <w:szCs w:val="20"/>
          <w:lang w:val="en-IE"/>
        </w:rPr>
        <w:t>mo</w:t>
      </w:r>
      <w:proofErr w:type="spellEnd"/>
      <w:r w:rsidRPr="0080321F">
        <w:rPr>
          <w:sz w:val="20"/>
          <w:szCs w:val="20"/>
          <w:lang w:val="en-IE"/>
        </w:rPr>
        <w:t>) after completion of radiotherapy. Primary endpoint was to compare change from baseline in bowel quality of life (QOL) using the health care software score (range 0-100) at 24 mo. Secondary objectives include comparison of urinary and sexual functions, toxicity, and ef</w:t>
      </w:r>
      <w:r w:rsidRPr="0080321F">
        <w:rPr>
          <w:rFonts w:eastAsia="Calibri"/>
          <w:sz w:val="20"/>
          <w:szCs w:val="20"/>
          <w:lang w:val="en-IE"/>
        </w:rPr>
        <w:t>fi</w:t>
      </w:r>
      <w:r w:rsidRPr="0080321F">
        <w:rPr>
          <w:sz w:val="20"/>
          <w:szCs w:val="20"/>
          <w:lang w:val="en-IE"/>
        </w:rPr>
        <w:t>cacy endpoints</w:t>
      </w:r>
      <w:r>
        <w:rPr>
          <w:sz w:val="20"/>
          <w:szCs w:val="20"/>
          <w:lang w:val="en-IE"/>
        </w:rPr>
        <w:t>.</w:t>
      </w:r>
    </w:p>
    <w:p w:rsidR="00534C82" w:rsidRPr="0080321F" w:rsidRDefault="00454FC9" w:rsidP="0081489F">
      <w:pPr>
        <w:spacing w:line="360" w:lineRule="auto"/>
        <w:ind w:left="0" w:right="-14" w:firstLine="0"/>
        <w:jc w:val="left"/>
        <w:rPr>
          <w:sz w:val="20"/>
          <w:szCs w:val="20"/>
          <w:lang w:val="en-IE"/>
        </w:rPr>
      </w:pPr>
      <w:r w:rsidRPr="0080321F">
        <w:rPr>
          <w:rFonts w:eastAsia="Calibri"/>
          <w:b/>
          <w:sz w:val="20"/>
          <w:szCs w:val="20"/>
          <w:lang w:val="en-IE"/>
        </w:rPr>
        <w:lastRenderedPageBreak/>
        <w:t>Results:</w:t>
      </w:r>
      <w:r w:rsidRPr="0080321F">
        <w:rPr>
          <w:rFonts w:eastAsia="Calibri"/>
          <w:sz w:val="20"/>
          <w:szCs w:val="20"/>
          <w:lang w:val="en-IE"/>
        </w:rPr>
        <w:t xml:space="preserve"> </w:t>
      </w:r>
      <w:r w:rsidRPr="0080321F">
        <w:rPr>
          <w:sz w:val="20"/>
          <w:szCs w:val="20"/>
          <w:lang w:val="en-IE"/>
        </w:rPr>
        <w:t xml:space="preserve">Between 06/2012-11/2021, 450 patients from 30 recruiting </w:t>
      </w:r>
      <w:proofErr w:type="spellStart"/>
      <w:r w:rsidRPr="0080321F">
        <w:rPr>
          <w:sz w:val="20"/>
          <w:szCs w:val="20"/>
          <w:lang w:val="en-IE"/>
        </w:rPr>
        <w:t>centers</w:t>
      </w:r>
      <w:proofErr w:type="spellEnd"/>
      <w:r w:rsidRPr="0080321F">
        <w:rPr>
          <w:sz w:val="20"/>
          <w:szCs w:val="20"/>
          <w:lang w:val="en-IE"/>
        </w:rPr>
        <w:t xml:space="preserve"> were randomized: PBT (N=226) and IMRT (N=224), of whom 221 and 216 were eligible and started radiation on the respective arms. Median follow-up was 60.3 </w:t>
      </w:r>
      <w:proofErr w:type="spellStart"/>
      <w:r w:rsidRPr="0080321F">
        <w:rPr>
          <w:sz w:val="20"/>
          <w:szCs w:val="20"/>
          <w:lang w:val="en-IE"/>
        </w:rPr>
        <w:t>mo</w:t>
      </w:r>
      <w:proofErr w:type="spellEnd"/>
      <w:r w:rsidRPr="0080321F">
        <w:rPr>
          <w:sz w:val="20"/>
          <w:szCs w:val="20"/>
          <w:lang w:val="en-IE"/>
        </w:rPr>
        <w:t xml:space="preserve"> among 424 patients still alive. Median age was 68 </w:t>
      </w:r>
      <w:proofErr w:type="spellStart"/>
      <w:r w:rsidRPr="0080321F">
        <w:rPr>
          <w:sz w:val="20"/>
          <w:szCs w:val="20"/>
          <w:lang w:val="en-IE"/>
        </w:rPr>
        <w:t>yrs</w:t>
      </w:r>
      <w:proofErr w:type="spellEnd"/>
      <w:r w:rsidRPr="0080321F">
        <w:rPr>
          <w:sz w:val="20"/>
          <w:szCs w:val="20"/>
          <w:lang w:val="en-IE"/>
        </w:rPr>
        <w:t xml:space="preserve"> (range 46-89), 59% had intermediate-risk disease, 51% received</w:t>
      </w:r>
      <w:r>
        <w:rPr>
          <w:sz w:val="20"/>
          <w:szCs w:val="20"/>
          <w:lang w:val="en-IE"/>
        </w:rPr>
        <w:t xml:space="preserve"> </w:t>
      </w:r>
      <w:r w:rsidR="006B4727" w:rsidRPr="0080321F">
        <w:rPr>
          <w:sz w:val="20"/>
          <w:szCs w:val="20"/>
          <w:lang w:val="en-IE"/>
        </w:rPr>
        <w:t xml:space="preserve">hypofractionation, 48% used a rectal spacer, and 49% of PBT patients were treated with pencil beam scanning. There was no difference between PBT or IMRT in mean change of health care software bowel score at 24 </w:t>
      </w:r>
      <w:proofErr w:type="spellStart"/>
      <w:r w:rsidR="006B4727" w:rsidRPr="0080321F">
        <w:rPr>
          <w:sz w:val="20"/>
          <w:szCs w:val="20"/>
          <w:lang w:val="en-IE"/>
        </w:rPr>
        <w:t>mo</w:t>
      </w:r>
      <w:proofErr w:type="spellEnd"/>
      <w:r w:rsidR="006B4727" w:rsidRPr="0080321F">
        <w:rPr>
          <w:sz w:val="20"/>
          <w:szCs w:val="20"/>
          <w:lang w:val="en-IE"/>
        </w:rPr>
        <w:t xml:space="preserve"> (p=0.836), with both arms showing only small, clinically non-meaningful decline from baseline (see Table). Similarly, there was no difference in bowel function at earlier timepoints (3, 6, 9, 12, 18 </w:t>
      </w:r>
      <w:proofErr w:type="spellStart"/>
      <w:r w:rsidR="006B4727" w:rsidRPr="0080321F">
        <w:rPr>
          <w:sz w:val="20"/>
          <w:szCs w:val="20"/>
          <w:lang w:val="en-IE"/>
        </w:rPr>
        <w:t>mo</w:t>
      </w:r>
      <w:proofErr w:type="spellEnd"/>
      <w:r w:rsidR="006B4727" w:rsidRPr="0080321F">
        <w:rPr>
          <w:sz w:val="20"/>
          <w:szCs w:val="20"/>
          <w:lang w:val="en-IE"/>
        </w:rPr>
        <w:t xml:space="preserve">) or later timepoints (36, 48, 60 </w:t>
      </w:r>
      <w:proofErr w:type="spellStart"/>
      <w:r w:rsidR="006B4727" w:rsidRPr="0080321F">
        <w:rPr>
          <w:sz w:val="20"/>
          <w:szCs w:val="20"/>
          <w:lang w:val="en-IE"/>
        </w:rPr>
        <w:t>mo</w:t>
      </w:r>
      <w:proofErr w:type="spellEnd"/>
      <w:r w:rsidR="006B4727" w:rsidRPr="0080321F">
        <w:rPr>
          <w:sz w:val="20"/>
          <w:szCs w:val="20"/>
          <w:lang w:val="en-IE"/>
        </w:rPr>
        <w:t xml:space="preserve">). No differences were observed in other domains (urinary, sexual, hormonal) at any timepoint. There was no difference in progression-free survival (PFS) (93.4% vs 93.7% at 60 </w:t>
      </w:r>
      <w:proofErr w:type="spellStart"/>
      <w:r w:rsidR="006B4727" w:rsidRPr="0080321F">
        <w:rPr>
          <w:sz w:val="20"/>
          <w:szCs w:val="20"/>
          <w:lang w:val="en-IE"/>
        </w:rPr>
        <w:t>mo</w:t>
      </w:r>
      <w:proofErr w:type="spellEnd"/>
      <w:r w:rsidR="006B4727" w:rsidRPr="0080321F">
        <w:rPr>
          <w:sz w:val="20"/>
          <w:szCs w:val="20"/>
          <w:lang w:val="en-IE"/>
        </w:rPr>
        <w:t>, HR 1.16 [0.53, 2.57], p=0.706). There was no sustained difference in any QOL domain or PFS between arms in subgroups de</w:t>
      </w:r>
      <w:r w:rsidR="006B4727" w:rsidRPr="0080321F">
        <w:rPr>
          <w:rFonts w:eastAsia="Calibri"/>
          <w:sz w:val="20"/>
          <w:szCs w:val="20"/>
          <w:lang w:val="en-IE"/>
        </w:rPr>
        <w:t>fi</w:t>
      </w:r>
      <w:r w:rsidR="006B4727" w:rsidRPr="0080321F">
        <w:rPr>
          <w:sz w:val="20"/>
          <w:szCs w:val="20"/>
          <w:lang w:val="en-IE"/>
        </w:rPr>
        <w:t>ned by strati</w:t>
      </w:r>
      <w:r w:rsidR="006B4727" w:rsidRPr="0080321F">
        <w:rPr>
          <w:rFonts w:eastAsia="Calibri"/>
          <w:sz w:val="20"/>
          <w:szCs w:val="20"/>
          <w:lang w:val="en-IE"/>
        </w:rPr>
        <w:t>fi</w:t>
      </w:r>
      <w:r w:rsidR="006B4727" w:rsidRPr="0080321F">
        <w:rPr>
          <w:sz w:val="20"/>
          <w:szCs w:val="20"/>
          <w:lang w:val="en-IE"/>
        </w:rPr>
        <w:t>cation variables.</w:t>
      </w:r>
    </w:p>
    <w:p w:rsidR="0080321F" w:rsidRPr="0080321F" w:rsidRDefault="006B4727" w:rsidP="0081489F">
      <w:pPr>
        <w:spacing w:after="85" w:line="360" w:lineRule="auto"/>
        <w:ind w:left="-5" w:right="-14"/>
        <w:jc w:val="left"/>
        <w:rPr>
          <w:sz w:val="20"/>
          <w:szCs w:val="20"/>
          <w:lang w:val="en-IE"/>
        </w:rPr>
      </w:pPr>
      <w:r w:rsidRPr="0080321F">
        <w:rPr>
          <w:rFonts w:eastAsia="Calibri"/>
          <w:b/>
          <w:sz w:val="20"/>
          <w:szCs w:val="20"/>
          <w:lang w:val="en-IE"/>
        </w:rPr>
        <w:t>Conclusion:</w:t>
      </w:r>
      <w:r w:rsidRPr="0080321F">
        <w:rPr>
          <w:rFonts w:eastAsia="Calibri"/>
          <w:sz w:val="20"/>
          <w:szCs w:val="20"/>
          <w:lang w:val="en-IE"/>
        </w:rPr>
        <w:t xml:space="preserve"> </w:t>
      </w:r>
      <w:r w:rsidRPr="0080321F">
        <w:rPr>
          <w:sz w:val="20"/>
          <w:szCs w:val="20"/>
          <w:lang w:val="en-IE"/>
        </w:rPr>
        <w:t xml:space="preserve">This prospective randomized clinical trial shows that patients treated with contemporary radiotherapy for localized prostate cancer achieve excellent QOL with highly effective </w:t>
      </w:r>
      <w:proofErr w:type="spellStart"/>
      <w:r w:rsidRPr="0080321F">
        <w:rPr>
          <w:sz w:val="20"/>
          <w:szCs w:val="20"/>
          <w:lang w:val="en-IE"/>
        </w:rPr>
        <w:t>tumor</w:t>
      </w:r>
      <w:proofErr w:type="spellEnd"/>
      <w:r w:rsidRPr="0080321F">
        <w:rPr>
          <w:sz w:val="20"/>
          <w:szCs w:val="20"/>
          <w:lang w:val="en-IE"/>
        </w:rPr>
        <w:t xml:space="preserve"> control, without measurable differences between PBT and IMRT. We continue to monitor participants for longer follow-up and secondary endpoints.</w:t>
      </w:r>
    </w:p>
    <w:p w:rsidR="00534C82" w:rsidRPr="0080321F" w:rsidRDefault="00534C82" w:rsidP="0081489F">
      <w:pPr>
        <w:spacing w:after="0" w:line="360" w:lineRule="auto"/>
        <w:ind w:left="0" w:firstLine="0"/>
        <w:jc w:val="left"/>
        <w:rPr>
          <w:sz w:val="20"/>
          <w:szCs w:val="20"/>
          <w:lang w:val="en-IE"/>
        </w:rPr>
      </w:pPr>
    </w:p>
    <w:p w:rsidR="00534C82" w:rsidRPr="0080321F" w:rsidRDefault="00534C82" w:rsidP="0081489F">
      <w:pPr>
        <w:spacing w:after="260" w:line="360" w:lineRule="auto"/>
        <w:ind w:left="0" w:firstLine="0"/>
        <w:jc w:val="left"/>
        <w:rPr>
          <w:sz w:val="20"/>
          <w:szCs w:val="20"/>
          <w:lang w:val="en-IE"/>
        </w:rPr>
      </w:pPr>
    </w:p>
    <w:p w:rsidR="00AA6478" w:rsidRPr="0080321F" w:rsidRDefault="00AA6478" w:rsidP="0081489F">
      <w:pPr>
        <w:spacing w:line="360" w:lineRule="auto"/>
        <w:ind w:right="-14"/>
        <w:jc w:val="left"/>
        <w:rPr>
          <w:sz w:val="20"/>
          <w:szCs w:val="20"/>
          <w:lang w:val="en-IE"/>
        </w:rPr>
      </w:pPr>
    </w:p>
    <w:p w:rsidR="00534C82" w:rsidRPr="0080321F" w:rsidRDefault="00534C82" w:rsidP="0081489F">
      <w:pPr>
        <w:spacing w:line="360" w:lineRule="auto"/>
        <w:ind w:left="-5" w:right="-14"/>
        <w:jc w:val="left"/>
        <w:rPr>
          <w:sz w:val="20"/>
          <w:szCs w:val="20"/>
          <w:lang w:val="en-IE"/>
        </w:rPr>
      </w:pPr>
    </w:p>
    <w:p w:rsidR="0080321F" w:rsidRPr="0080321F" w:rsidRDefault="0080321F" w:rsidP="0081489F">
      <w:pPr>
        <w:spacing w:line="360" w:lineRule="auto"/>
        <w:ind w:left="-5" w:right="-14"/>
        <w:jc w:val="left"/>
        <w:rPr>
          <w:sz w:val="20"/>
          <w:szCs w:val="20"/>
          <w:lang w:val="en-IE"/>
        </w:rPr>
      </w:pPr>
    </w:p>
    <w:p w:rsidR="0080321F" w:rsidRPr="0080321F" w:rsidRDefault="0080321F" w:rsidP="0081489F">
      <w:pPr>
        <w:spacing w:line="360" w:lineRule="auto"/>
        <w:ind w:left="-5" w:right="-14"/>
        <w:jc w:val="left"/>
        <w:rPr>
          <w:sz w:val="20"/>
          <w:szCs w:val="20"/>
          <w:lang w:val="en-IE"/>
        </w:rPr>
      </w:pPr>
    </w:p>
    <w:sectPr w:rsidR="0080321F" w:rsidRPr="0080321F" w:rsidSect="00D77567">
      <w:type w:val="continuous"/>
      <w:pgSz w:w="11520" w:h="15479"/>
      <w:pgMar w:top="1417" w:right="1455" w:bottom="1417" w:left="1418" w:header="708" w:footer="708" w:gutter="0"/>
      <w:cols w:space="708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82"/>
    <w:rsid w:val="00244103"/>
    <w:rsid w:val="004378AA"/>
    <w:rsid w:val="00454FC9"/>
    <w:rsid w:val="00484825"/>
    <w:rsid w:val="00511FD1"/>
    <w:rsid w:val="00532625"/>
    <w:rsid w:val="00534C82"/>
    <w:rsid w:val="00604890"/>
    <w:rsid w:val="006B4727"/>
    <w:rsid w:val="007605FD"/>
    <w:rsid w:val="007A0988"/>
    <w:rsid w:val="007D47A4"/>
    <w:rsid w:val="0080321F"/>
    <w:rsid w:val="0081005D"/>
    <w:rsid w:val="0081489F"/>
    <w:rsid w:val="00984A60"/>
    <w:rsid w:val="00A3048C"/>
    <w:rsid w:val="00AA6478"/>
    <w:rsid w:val="00BB5D28"/>
    <w:rsid w:val="00D77567"/>
    <w:rsid w:val="00F02B7B"/>
    <w:rsid w:val="00F2734B"/>
    <w:rsid w:val="00FB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19393-0785-4CA9-AB87-A99CD134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80321F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01F91-B8C5-445C-AA7C-567BB4FF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Vyroubalová Eva</dc:creator>
  <cp:keywords/>
  <cp:lastModifiedBy>Vyroubalová Eva</cp:lastModifiedBy>
  <cp:revision>9</cp:revision>
  <cp:lastPrinted>2024-11-08T12:01:00Z</cp:lastPrinted>
  <dcterms:created xsi:type="dcterms:W3CDTF">2024-11-07T12:06:00Z</dcterms:created>
  <dcterms:modified xsi:type="dcterms:W3CDTF">2024-11-11T07:47:00Z</dcterms:modified>
</cp:coreProperties>
</file>