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C3" w:rsidRDefault="00566AF3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566AF3">
        <w:rPr>
          <w:rFonts w:ascii="Times New Roman" w:hAnsi="Times New Roman" w:cs="Times New Roman"/>
          <w:b/>
          <w:szCs w:val="20"/>
        </w:rPr>
        <w:t>Randomized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Phase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III Trial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Comparing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Gamma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Knife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and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Linac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Based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(EDGE)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Approaches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for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Brain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Metastases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Radiosurgery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: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Results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from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the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566AF3">
        <w:rPr>
          <w:rFonts w:ascii="Times New Roman" w:hAnsi="Times New Roman" w:cs="Times New Roman"/>
          <w:b/>
          <w:szCs w:val="20"/>
        </w:rPr>
        <w:t>Gadget</w:t>
      </w:r>
      <w:proofErr w:type="spellEnd"/>
      <w:r w:rsidRPr="00566AF3">
        <w:rPr>
          <w:rFonts w:ascii="Times New Roman" w:hAnsi="Times New Roman" w:cs="Times New Roman"/>
          <w:b/>
          <w:szCs w:val="20"/>
        </w:rPr>
        <w:t xml:space="preserve"> Trial</w:t>
      </w:r>
    </w:p>
    <w:p w:rsidR="00566AF3" w:rsidRPr="000E0DAF" w:rsidRDefault="00566AF3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F63352" w:rsidRDefault="001762F7" w:rsidP="001762F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762F7">
        <w:rPr>
          <w:rFonts w:ascii="Times New Roman" w:hAnsi="Times New Roman" w:cs="Times New Roman"/>
          <w:sz w:val="20"/>
          <w:szCs w:val="20"/>
        </w:rPr>
        <w:t>P. Navarria,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762F7">
        <w:rPr>
          <w:rFonts w:ascii="Times New Roman" w:hAnsi="Times New Roman" w:cs="Times New Roman"/>
          <w:sz w:val="20"/>
          <w:szCs w:val="20"/>
        </w:rPr>
        <w:t xml:space="preserve"> E. Clerici,1 G. </w:t>
      </w:r>
      <w:proofErr w:type="gramStart"/>
      <w:r w:rsidRPr="001762F7">
        <w:rPr>
          <w:rFonts w:ascii="Times New Roman" w:hAnsi="Times New Roman" w:cs="Times New Roman"/>
          <w:sz w:val="20"/>
          <w:szCs w:val="20"/>
        </w:rPr>
        <w:t>Carta,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762F7">
        <w:rPr>
          <w:rFonts w:ascii="Times New Roman" w:hAnsi="Times New Roman" w:cs="Times New Roman"/>
          <w:sz w:val="20"/>
          <w:szCs w:val="20"/>
        </w:rPr>
        <w:t xml:space="preserve"> L.</w:t>
      </w:r>
      <w:proofErr w:type="gramEnd"/>
      <w:r w:rsidRPr="001762F7">
        <w:rPr>
          <w:rFonts w:ascii="Times New Roman" w:hAnsi="Times New Roman" w:cs="Times New Roman"/>
          <w:sz w:val="20"/>
          <w:szCs w:val="20"/>
        </w:rPr>
        <w:t xml:space="preserve"> Attuati,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762F7">
        <w:rPr>
          <w:rFonts w:ascii="Times New Roman" w:hAnsi="Times New Roman" w:cs="Times New Roman"/>
          <w:sz w:val="20"/>
          <w:szCs w:val="20"/>
        </w:rPr>
        <w:t xml:space="preserve"> P. Picozzi,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762F7">
        <w:rPr>
          <w:rFonts w:ascii="Times New Roman" w:hAnsi="Times New Roman" w:cs="Times New Roman"/>
          <w:sz w:val="20"/>
          <w:szCs w:val="20"/>
        </w:rPr>
        <w:t xml:space="preserve"> C. Franzese,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762F7">
        <w:rPr>
          <w:rFonts w:ascii="Times New Roman" w:hAnsi="Times New Roman" w:cs="Times New Roman"/>
          <w:sz w:val="20"/>
          <w:szCs w:val="20"/>
        </w:rPr>
        <w:t>G.R. D’</w:t>
      </w:r>
      <w:proofErr w:type="gramStart"/>
      <w:r w:rsidRPr="001762F7">
        <w:rPr>
          <w:rFonts w:ascii="Times New Roman" w:hAnsi="Times New Roman" w:cs="Times New Roman"/>
          <w:sz w:val="20"/>
          <w:szCs w:val="20"/>
        </w:rPr>
        <w:t>Agostino,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762F7">
        <w:rPr>
          <w:rFonts w:ascii="Times New Roman" w:hAnsi="Times New Roman" w:cs="Times New Roman"/>
          <w:sz w:val="20"/>
          <w:szCs w:val="20"/>
        </w:rPr>
        <w:t xml:space="preserve"> S.</w:t>
      </w:r>
      <w:proofErr w:type="gramEnd"/>
      <w:r w:rsidRPr="001762F7">
        <w:rPr>
          <w:rFonts w:ascii="Times New Roman" w:hAnsi="Times New Roman" w:cs="Times New Roman"/>
          <w:sz w:val="20"/>
          <w:szCs w:val="20"/>
        </w:rPr>
        <w:t xml:space="preserve"> Tomatis,1 P. Mancosu,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762F7">
        <w:rPr>
          <w:rFonts w:ascii="Times New Roman" w:hAnsi="Times New Roman" w:cs="Times New Roman"/>
          <w:sz w:val="20"/>
          <w:szCs w:val="20"/>
        </w:rPr>
        <w:t xml:space="preserve"> L. Cozzi,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762F7">
        <w:rPr>
          <w:rFonts w:ascii="Times New Roman" w:hAnsi="Times New Roman" w:cs="Times New Roman"/>
          <w:sz w:val="20"/>
          <w:szCs w:val="20"/>
        </w:rPr>
        <w:t xml:space="preserve"> G. Reggiori,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762F7">
        <w:rPr>
          <w:rFonts w:ascii="Times New Roman" w:hAnsi="Times New Roman" w:cs="Times New Roman"/>
          <w:sz w:val="20"/>
          <w:szCs w:val="20"/>
        </w:rPr>
        <w:t>and M. Scorsetti</w:t>
      </w:r>
      <w:r w:rsidRPr="001762F7">
        <w:rPr>
          <w:rFonts w:ascii="Times New Roman" w:hAnsi="Times New Roman" w:cs="Times New Roman"/>
          <w:sz w:val="20"/>
          <w:szCs w:val="20"/>
          <w:vertAlign w:val="superscript"/>
        </w:rPr>
        <w:t>5,6</w:t>
      </w:r>
      <w:r w:rsidR="00DC2F08" w:rsidRPr="00DC2F08">
        <w:rPr>
          <w:rFonts w:ascii="Times New Roman" w:hAnsi="Times New Roman" w:cs="Times New Roman"/>
          <w:sz w:val="20"/>
          <w:szCs w:val="20"/>
        </w:rPr>
        <w:t>;</w:t>
      </w:r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F0661" w:rsidRDefault="001762F7" w:rsidP="001762F7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762F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Humanitas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Clinical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Rozzano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-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Milan, Italy, </w:t>
      </w:r>
      <w:r w:rsidRPr="001762F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Humanitas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Clinical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R</w:t>
      </w:r>
      <w:r w:rsidRPr="001762F7">
        <w:rPr>
          <w:rFonts w:ascii="Times New Roman" w:hAnsi="Times New Roman" w:cs="Times New Roman"/>
          <w:i/>
          <w:sz w:val="20"/>
          <w:szCs w:val="20"/>
        </w:rPr>
        <w:t>esearch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Rozzano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>-MI,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Italy, </w:t>
      </w:r>
      <w:r w:rsidRPr="001762F7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Humanitas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Rozzano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, Italy, </w:t>
      </w:r>
      <w:r w:rsidRPr="001762F7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Humanitas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Center and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Rozzano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, Italy, </w:t>
      </w:r>
      <w:r w:rsidRPr="001762F7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1762F7">
        <w:rPr>
          <w:rFonts w:ascii="Times New Roman" w:hAnsi="Times New Roman" w:cs="Times New Roman"/>
          <w:i/>
          <w:sz w:val="20"/>
          <w:szCs w:val="20"/>
        </w:rPr>
        <w:t xml:space="preserve">Istituto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Clinico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Humanitas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Rozzano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(Milan), Italy, </w:t>
      </w:r>
      <w:bookmarkStart w:id="0" w:name="_GoBack"/>
      <w:r w:rsidRPr="001762F7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bookmarkEnd w:id="0"/>
      <w:r w:rsidRPr="001762F7">
        <w:rPr>
          <w:rFonts w:ascii="Times New Roman" w:hAnsi="Times New Roman" w:cs="Times New Roman"/>
          <w:i/>
          <w:sz w:val="20"/>
          <w:szCs w:val="20"/>
        </w:rPr>
        <w:t xml:space="preserve">Humanitas University, </w:t>
      </w:r>
      <w:proofErr w:type="spellStart"/>
      <w:r w:rsidRPr="001762F7">
        <w:rPr>
          <w:rFonts w:ascii="Times New Roman" w:hAnsi="Times New Roman" w:cs="Times New Roman"/>
          <w:i/>
          <w:sz w:val="20"/>
          <w:szCs w:val="20"/>
        </w:rPr>
        <w:t>Rozzano</w:t>
      </w:r>
      <w:proofErr w:type="spellEnd"/>
      <w:r w:rsidRPr="001762F7">
        <w:rPr>
          <w:rFonts w:ascii="Times New Roman" w:hAnsi="Times New Roman" w:cs="Times New Roman"/>
          <w:i/>
          <w:sz w:val="20"/>
          <w:szCs w:val="20"/>
        </w:rPr>
        <w:t xml:space="preserve"> (Milan), Italy</w:t>
      </w:r>
    </w:p>
    <w:p w:rsidR="001762F7" w:rsidRPr="001762F7" w:rsidRDefault="001762F7" w:rsidP="001762F7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r w:rsidR="001762F7" w:rsidRPr="001762F7">
        <w:rPr>
          <w:rFonts w:ascii="Times New Roman" w:hAnsi="Times New Roman" w:cs="Times New Roman"/>
          <w:sz w:val="20"/>
          <w:szCs w:val="20"/>
        </w:rPr>
        <w:t xml:space="preserve">Brain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solid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tumors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represent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topic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increasing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interest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incidence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last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Stereotactic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radiosurgery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(SRS)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main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effective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therapeutic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approach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technological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modalities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employed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comparable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but to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issue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draw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III trial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comparing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Gammaknife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(GK) and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Linac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Edge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) SRS.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aim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evaluate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incidence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radionecrosis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modality;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endpoints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control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(LC) and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(OS).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18 - 85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old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Karnofsky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performance status (KPS) ≥70,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histopathologically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confirmation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solid tumor, RPA 1-2,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≥ 3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DS-GPA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harboring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up to 4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diameter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≤30 mm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Randomization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presence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extracranial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(GK) a single dose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20-24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50%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isodose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prescribed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B a single dose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24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Gy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prescribed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to PTV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evaluation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every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MRI and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examination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Radionecrosis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mismatching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T1/T2 MRI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images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perfusion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MRI, and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doubt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Methionine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-CT/PET.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Local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response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appraised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Response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Neuro-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Oncology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(RANO)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Working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Group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criteria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October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2014 to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January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2018, 168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292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80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(GK) and 88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B (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Edge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152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and 140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B,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RN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occurred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23 (7.8%)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11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and 12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B; grade II in 8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GK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6.5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and in 12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Edge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9.4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; grade III RN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recorded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3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GK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12, and 18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LC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97.5% and 94.5%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whole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; 98.8% and 90.9%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A; 96.2% and 96.2%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B,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comparable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(p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=0.96).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12, and 18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17.8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, 74.1%, and 48.9%,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comparable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(p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=0.36). On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univariate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factor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impacting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radionecrosis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occurrence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(p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=0.005; p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>=0.03).</w:t>
      </w:r>
    </w:p>
    <w:p w:rsidR="00DA56CE" w:rsidRDefault="00195D5C" w:rsidP="00590C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Gamma-knife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and LINAC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SRS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BMs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comparable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LC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occurrence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GIII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radionecrosis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greater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earlier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GK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1762F7" w:rsidRPr="001762F7">
        <w:rPr>
          <w:rFonts w:ascii="Times New Roman" w:hAnsi="Times New Roman" w:cs="Times New Roman"/>
          <w:sz w:val="20"/>
          <w:szCs w:val="20"/>
        </w:rPr>
        <w:t>Edge</w:t>
      </w:r>
      <w:proofErr w:type="spellEnd"/>
      <w:r w:rsidR="001762F7" w:rsidRPr="001762F7">
        <w:rPr>
          <w:rFonts w:ascii="Times New Roman" w:hAnsi="Times New Roman" w:cs="Times New Roman"/>
          <w:sz w:val="20"/>
          <w:szCs w:val="20"/>
        </w:rPr>
        <w:t xml:space="preserve"> arm.</w:t>
      </w:r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756B5"/>
    <w:rsid w:val="00081DEE"/>
    <w:rsid w:val="001165B9"/>
    <w:rsid w:val="001762F7"/>
    <w:rsid w:val="00195D5C"/>
    <w:rsid w:val="002252C3"/>
    <w:rsid w:val="002574CB"/>
    <w:rsid w:val="0026185F"/>
    <w:rsid w:val="00267408"/>
    <w:rsid w:val="00365446"/>
    <w:rsid w:val="00397807"/>
    <w:rsid w:val="003D111D"/>
    <w:rsid w:val="004668FA"/>
    <w:rsid w:val="00566AF3"/>
    <w:rsid w:val="00590C71"/>
    <w:rsid w:val="00733C88"/>
    <w:rsid w:val="0077466E"/>
    <w:rsid w:val="007F0AD4"/>
    <w:rsid w:val="0080397A"/>
    <w:rsid w:val="00815153"/>
    <w:rsid w:val="009A4427"/>
    <w:rsid w:val="009F13D1"/>
    <w:rsid w:val="009F73A1"/>
    <w:rsid w:val="00B23696"/>
    <w:rsid w:val="00BD2622"/>
    <w:rsid w:val="00BF7CE5"/>
    <w:rsid w:val="00C04672"/>
    <w:rsid w:val="00C20916"/>
    <w:rsid w:val="00CC1A70"/>
    <w:rsid w:val="00DA56CE"/>
    <w:rsid w:val="00DC2F08"/>
    <w:rsid w:val="00DF0661"/>
    <w:rsid w:val="00F335D4"/>
    <w:rsid w:val="00F41CAB"/>
    <w:rsid w:val="00F63352"/>
    <w:rsid w:val="00F7475F"/>
    <w:rsid w:val="00FC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2018-11-14T09:01:00Z</dcterms:created>
  <dcterms:modified xsi:type="dcterms:W3CDTF">2018-11-14T09:04:00Z</dcterms:modified>
</cp:coreProperties>
</file>