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83F" w:rsidRDefault="00240F70" w:rsidP="00DC269F">
      <w:pPr>
        <w:spacing w:line="360" w:lineRule="auto"/>
        <w:rPr>
          <w:rFonts w:ascii="Times New Roman" w:hAnsi="Times New Roman" w:cs="Times New Roman"/>
          <w:b/>
          <w:szCs w:val="20"/>
        </w:rPr>
      </w:pPr>
      <w:r w:rsidRPr="00240F70">
        <w:rPr>
          <w:rFonts w:ascii="Times New Roman" w:hAnsi="Times New Roman" w:cs="Times New Roman"/>
          <w:b/>
          <w:szCs w:val="20"/>
        </w:rPr>
        <w:t>A Meta-</w:t>
      </w:r>
      <w:proofErr w:type="spellStart"/>
      <w:r w:rsidRPr="00240F70">
        <w:rPr>
          <w:rFonts w:ascii="Times New Roman" w:hAnsi="Times New Roman" w:cs="Times New Roman"/>
          <w:b/>
          <w:szCs w:val="20"/>
        </w:rPr>
        <w:t>Analysis</w:t>
      </w:r>
      <w:proofErr w:type="spellEnd"/>
      <w:r w:rsidRPr="00240F70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40F70">
        <w:rPr>
          <w:rFonts w:ascii="Times New Roman" w:hAnsi="Times New Roman" w:cs="Times New Roman"/>
          <w:b/>
          <w:szCs w:val="20"/>
        </w:rPr>
        <w:t>of</w:t>
      </w:r>
      <w:proofErr w:type="spellEnd"/>
      <w:r w:rsidRPr="00240F70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40F70">
        <w:rPr>
          <w:rFonts w:ascii="Times New Roman" w:hAnsi="Times New Roman" w:cs="Times New Roman"/>
          <w:b/>
          <w:szCs w:val="20"/>
        </w:rPr>
        <w:t>Randomized</w:t>
      </w:r>
      <w:proofErr w:type="spellEnd"/>
      <w:r w:rsidRPr="00240F70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40F70">
        <w:rPr>
          <w:rFonts w:ascii="Times New Roman" w:hAnsi="Times New Roman" w:cs="Times New Roman"/>
          <w:b/>
          <w:szCs w:val="20"/>
        </w:rPr>
        <w:t>Trials</w:t>
      </w:r>
      <w:proofErr w:type="spellEnd"/>
      <w:r w:rsidRPr="00240F70">
        <w:rPr>
          <w:rFonts w:ascii="Times New Roman" w:hAnsi="Times New Roman" w:cs="Times New Roman"/>
          <w:b/>
          <w:szCs w:val="20"/>
        </w:rPr>
        <w:t xml:space="preserve"> to </w:t>
      </w:r>
      <w:proofErr w:type="spellStart"/>
      <w:r w:rsidRPr="00240F70">
        <w:rPr>
          <w:rFonts w:ascii="Times New Roman" w:hAnsi="Times New Roman" w:cs="Times New Roman"/>
          <w:b/>
          <w:szCs w:val="20"/>
        </w:rPr>
        <w:t>Compare</w:t>
      </w:r>
      <w:proofErr w:type="spellEnd"/>
      <w:r w:rsidRPr="00240F70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40F70">
        <w:rPr>
          <w:rFonts w:ascii="Times New Roman" w:hAnsi="Times New Roman" w:cs="Times New Roman"/>
          <w:b/>
          <w:szCs w:val="20"/>
        </w:rPr>
        <w:t>the</w:t>
      </w:r>
      <w:proofErr w:type="spellEnd"/>
      <w:r w:rsidRPr="00240F70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40F70">
        <w:rPr>
          <w:rFonts w:ascii="Times New Roman" w:hAnsi="Times New Roman" w:cs="Times New Roman"/>
          <w:b/>
          <w:szCs w:val="20"/>
        </w:rPr>
        <w:t>Added</w:t>
      </w:r>
      <w:proofErr w:type="spellEnd"/>
      <w:r w:rsidRPr="00240F70">
        <w:rPr>
          <w:rFonts w:ascii="Times New Roman" w:hAnsi="Times New Roman" w:cs="Times New Roman"/>
          <w:b/>
          <w:szCs w:val="20"/>
        </w:rPr>
        <w:t xml:space="preserve"> Benefit </w:t>
      </w:r>
      <w:proofErr w:type="spellStart"/>
      <w:r w:rsidRPr="00240F70">
        <w:rPr>
          <w:rFonts w:ascii="Times New Roman" w:hAnsi="Times New Roman" w:cs="Times New Roman"/>
          <w:b/>
          <w:szCs w:val="20"/>
        </w:rPr>
        <w:t>of</w:t>
      </w:r>
      <w:proofErr w:type="spellEnd"/>
      <w:r w:rsidRPr="00240F70">
        <w:rPr>
          <w:rFonts w:ascii="Times New Roman" w:hAnsi="Times New Roman" w:cs="Times New Roman"/>
          <w:b/>
          <w:szCs w:val="20"/>
        </w:rPr>
        <w:t xml:space="preserve"> a </w:t>
      </w:r>
      <w:proofErr w:type="spellStart"/>
      <w:r w:rsidRPr="00240F70">
        <w:rPr>
          <w:rFonts w:ascii="Times New Roman" w:hAnsi="Times New Roman" w:cs="Times New Roman"/>
          <w:b/>
          <w:szCs w:val="20"/>
        </w:rPr>
        <w:t>Brachytherapy</w:t>
      </w:r>
      <w:proofErr w:type="spellEnd"/>
      <w:r w:rsidRPr="00240F70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40F70">
        <w:rPr>
          <w:rFonts w:ascii="Times New Roman" w:hAnsi="Times New Roman" w:cs="Times New Roman"/>
          <w:b/>
          <w:szCs w:val="20"/>
        </w:rPr>
        <w:t>Boost</w:t>
      </w:r>
      <w:proofErr w:type="spellEnd"/>
      <w:r w:rsidRPr="00240F70">
        <w:rPr>
          <w:rFonts w:ascii="Times New Roman" w:hAnsi="Times New Roman" w:cs="Times New Roman"/>
          <w:b/>
          <w:szCs w:val="20"/>
        </w:rPr>
        <w:t xml:space="preserve"> Versus </w:t>
      </w:r>
      <w:proofErr w:type="spellStart"/>
      <w:r w:rsidRPr="00240F70">
        <w:rPr>
          <w:rFonts w:ascii="Times New Roman" w:hAnsi="Times New Roman" w:cs="Times New Roman"/>
          <w:b/>
          <w:szCs w:val="20"/>
        </w:rPr>
        <w:t>the</w:t>
      </w:r>
      <w:proofErr w:type="spellEnd"/>
      <w:r w:rsidRPr="00240F70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40F70">
        <w:rPr>
          <w:rFonts w:ascii="Times New Roman" w:hAnsi="Times New Roman" w:cs="Times New Roman"/>
          <w:b/>
          <w:szCs w:val="20"/>
        </w:rPr>
        <w:t>Addition</w:t>
      </w:r>
      <w:proofErr w:type="spellEnd"/>
      <w:r w:rsidRPr="00240F70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40F70">
        <w:rPr>
          <w:rFonts w:ascii="Times New Roman" w:hAnsi="Times New Roman" w:cs="Times New Roman"/>
          <w:b/>
          <w:szCs w:val="20"/>
        </w:rPr>
        <w:t>of</w:t>
      </w:r>
      <w:proofErr w:type="spellEnd"/>
      <w:r w:rsidRPr="00240F70">
        <w:rPr>
          <w:rFonts w:ascii="Times New Roman" w:hAnsi="Times New Roman" w:cs="Times New Roman"/>
          <w:b/>
          <w:szCs w:val="20"/>
        </w:rPr>
        <w:t xml:space="preserve"> Androgen </w:t>
      </w:r>
      <w:proofErr w:type="spellStart"/>
      <w:r w:rsidRPr="00240F70">
        <w:rPr>
          <w:rFonts w:ascii="Times New Roman" w:hAnsi="Times New Roman" w:cs="Times New Roman"/>
          <w:b/>
          <w:szCs w:val="20"/>
        </w:rPr>
        <w:t>Deprivation</w:t>
      </w:r>
      <w:proofErr w:type="spellEnd"/>
      <w:r w:rsidRPr="00240F70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40F70">
        <w:rPr>
          <w:rFonts w:ascii="Times New Roman" w:hAnsi="Times New Roman" w:cs="Times New Roman"/>
          <w:b/>
          <w:szCs w:val="20"/>
        </w:rPr>
        <w:t>Therapy</w:t>
      </w:r>
      <w:proofErr w:type="spellEnd"/>
      <w:r w:rsidRPr="00240F70">
        <w:rPr>
          <w:rFonts w:ascii="Times New Roman" w:hAnsi="Times New Roman" w:cs="Times New Roman"/>
          <w:b/>
          <w:szCs w:val="20"/>
        </w:rPr>
        <w:t xml:space="preserve"> to </w:t>
      </w:r>
      <w:proofErr w:type="spellStart"/>
      <w:r w:rsidRPr="00240F70">
        <w:rPr>
          <w:rFonts w:ascii="Times New Roman" w:hAnsi="Times New Roman" w:cs="Times New Roman"/>
          <w:b/>
          <w:szCs w:val="20"/>
        </w:rPr>
        <w:t>External</w:t>
      </w:r>
      <w:proofErr w:type="spellEnd"/>
      <w:r w:rsidRPr="00240F70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40F70">
        <w:rPr>
          <w:rFonts w:ascii="Times New Roman" w:hAnsi="Times New Roman" w:cs="Times New Roman"/>
          <w:b/>
          <w:szCs w:val="20"/>
        </w:rPr>
        <w:t>Beam</w:t>
      </w:r>
      <w:proofErr w:type="spellEnd"/>
      <w:r w:rsidRPr="00240F70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40F70">
        <w:rPr>
          <w:rFonts w:ascii="Times New Roman" w:hAnsi="Times New Roman" w:cs="Times New Roman"/>
          <w:b/>
          <w:szCs w:val="20"/>
        </w:rPr>
        <w:t>Radiation</w:t>
      </w:r>
      <w:proofErr w:type="spellEnd"/>
      <w:r w:rsidRPr="00240F70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40F70">
        <w:rPr>
          <w:rFonts w:ascii="Times New Roman" w:hAnsi="Times New Roman" w:cs="Times New Roman"/>
          <w:b/>
          <w:szCs w:val="20"/>
        </w:rPr>
        <w:t>Therapy</w:t>
      </w:r>
      <w:proofErr w:type="spellEnd"/>
      <w:r w:rsidRPr="00240F70">
        <w:rPr>
          <w:rFonts w:ascii="Times New Roman" w:hAnsi="Times New Roman" w:cs="Times New Roman"/>
          <w:b/>
          <w:szCs w:val="20"/>
        </w:rPr>
        <w:t xml:space="preserve"> in </w:t>
      </w:r>
      <w:proofErr w:type="spellStart"/>
      <w:r w:rsidRPr="00240F70">
        <w:rPr>
          <w:rFonts w:ascii="Times New Roman" w:hAnsi="Times New Roman" w:cs="Times New Roman"/>
          <w:b/>
          <w:szCs w:val="20"/>
        </w:rPr>
        <w:t>Men</w:t>
      </w:r>
      <w:proofErr w:type="spellEnd"/>
      <w:r w:rsidRPr="00240F70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40F70">
        <w:rPr>
          <w:rFonts w:ascii="Times New Roman" w:hAnsi="Times New Roman" w:cs="Times New Roman"/>
          <w:b/>
          <w:szCs w:val="20"/>
        </w:rPr>
        <w:t>with</w:t>
      </w:r>
      <w:proofErr w:type="spellEnd"/>
      <w:r w:rsidRPr="00240F70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40F70">
        <w:rPr>
          <w:rFonts w:ascii="Times New Roman" w:hAnsi="Times New Roman" w:cs="Times New Roman"/>
          <w:b/>
          <w:szCs w:val="20"/>
        </w:rPr>
        <w:t>Intermediate</w:t>
      </w:r>
      <w:proofErr w:type="spellEnd"/>
      <w:r w:rsidRPr="00240F70">
        <w:rPr>
          <w:rFonts w:ascii="Times New Roman" w:hAnsi="Times New Roman" w:cs="Times New Roman"/>
          <w:b/>
          <w:szCs w:val="20"/>
        </w:rPr>
        <w:t xml:space="preserve"> and </w:t>
      </w:r>
      <w:proofErr w:type="spellStart"/>
      <w:r w:rsidRPr="00240F70">
        <w:rPr>
          <w:rFonts w:ascii="Times New Roman" w:hAnsi="Times New Roman" w:cs="Times New Roman"/>
          <w:b/>
          <w:szCs w:val="20"/>
        </w:rPr>
        <w:t>High</w:t>
      </w:r>
      <w:proofErr w:type="spellEnd"/>
      <w:r w:rsidRPr="00240F70">
        <w:rPr>
          <w:rFonts w:ascii="Times New Roman" w:hAnsi="Times New Roman" w:cs="Times New Roman"/>
          <w:b/>
          <w:szCs w:val="20"/>
        </w:rPr>
        <w:t xml:space="preserve"> Risk </w:t>
      </w:r>
      <w:proofErr w:type="spellStart"/>
      <w:r w:rsidRPr="00240F70">
        <w:rPr>
          <w:rFonts w:ascii="Times New Roman" w:hAnsi="Times New Roman" w:cs="Times New Roman"/>
          <w:b/>
          <w:szCs w:val="20"/>
        </w:rPr>
        <w:t>Prostate</w:t>
      </w:r>
      <w:proofErr w:type="spellEnd"/>
      <w:r w:rsidRPr="00240F70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40F70">
        <w:rPr>
          <w:rFonts w:ascii="Times New Roman" w:hAnsi="Times New Roman" w:cs="Times New Roman"/>
          <w:b/>
          <w:szCs w:val="20"/>
        </w:rPr>
        <w:t>Cancer</w:t>
      </w:r>
      <w:proofErr w:type="spellEnd"/>
    </w:p>
    <w:p w:rsidR="00F65B41" w:rsidRDefault="00F65B41" w:rsidP="00DC269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D5235" w:rsidRDefault="00E00948" w:rsidP="00F65B4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E00948">
        <w:rPr>
          <w:rFonts w:ascii="Times New Roman" w:hAnsi="Times New Roman" w:cs="Times New Roman"/>
          <w:sz w:val="20"/>
          <w:szCs w:val="20"/>
        </w:rPr>
        <w:t>W.C.</w:t>
      </w:r>
      <w:proofErr w:type="gramEnd"/>
      <w:r w:rsidRPr="00E00948">
        <w:rPr>
          <w:rFonts w:ascii="Times New Roman" w:hAnsi="Times New Roman" w:cs="Times New Roman"/>
          <w:sz w:val="20"/>
          <w:szCs w:val="20"/>
        </w:rPr>
        <w:t xml:space="preserve"> Jackson, R.T. </w:t>
      </w:r>
      <w:proofErr w:type="spellStart"/>
      <w:r w:rsidRPr="00E00948">
        <w:rPr>
          <w:rFonts w:ascii="Times New Roman" w:hAnsi="Times New Roman" w:cs="Times New Roman"/>
          <w:sz w:val="20"/>
          <w:szCs w:val="20"/>
        </w:rPr>
        <w:t>Dess</w:t>
      </w:r>
      <w:proofErr w:type="spellEnd"/>
      <w:r w:rsidRPr="00E00948">
        <w:rPr>
          <w:rFonts w:ascii="Times New Roman" w:hAnsi="Times New Roman" w:cs="Times New Roman"/>
          <w:sz w:val="20"/>
          <w:szCs w:val="20"/>
        </w:rPr>
        <w:t xml:space="preserve">, P.D. Soni, </w:t>
      </w:r>
      <w:proofErr w:type="gramStart"/>
      <w:r w:rsidRPr="00E00948">
        <w:rPr>
          <w:rFonts w:ascii="Times New Roman" w:hAnsi="Times New Roman" w:cs="Times New Roman"/>
          <w:sz w:val="20"/>
          <w:szCs w:val="20"/>
        </w:rPr>
        <w:t>P.W.</w:t>
      </w:r>
      <w:proofErr w:type="gramEnd"/>
      <w:r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0948">
        <w:rPr>
          <w:rFonts w:ascii="Times New Roman" w:hAnsi="Times New Roman" w:cs="Times New Roman"/>
          <w:sz w:val="20"/>
          <w:szCs w:val="20"/>
        </w:rPr>
        <w:t>McLaughlin</w:t>
      </w:r>
      <w:proofErr w:type="spellEnd"/>
      <w:r w:rsidRPr="00E00948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E00948">
        <w:rPr>
          <w:rFonts w:ascii="Times New Roman" w:hAnsi="Times New Roman" w:cs="Times New Roman"/>
          <w:sz w:val="20"/>
          <w:szCs w:val="20"/>
        </w:rPr>
        <w:t>and D.E.</w:t>
      </w:r>
      <w:proofErr w:type="gramEnd"/>
      <w:r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0948">
        <w:rPr>
          <w:rFonts w:ascii="Times New Roman" w:hAnsi="Times New Roman" w:cs="Times New Roman"/>
          <w:sz w:val="20"/>
          <w:szCs w:val="20"/>
        </w:rPr>
        <w:t>Spratt</w:t>
      </w:r>
      <w:proofErr w:type="spellEnd"/>
      <w:r w:rsidRPr="00E00948">
        <w:rPr>
          <w:rFonts w:ascii="Times New Roman" w:hAnsi="Times New Roman" w:cs="Times New Roman"/>
          <w:sz w:val="20"/>
          <w:szCs w:val="20"/>
        </w:rPr>
        <w:t>;</w:t>
      </w:r>
    </w:p>
    <w:p w:rsidR="00FC083F" w:rsidRDefault="00FC083F" w:rsidP="00FC083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65B41" w:rsidRDefault="00E00948" w:rsidP="00F65B41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E00948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E00948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E0094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0948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E0094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E00948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E00948">
        <w:rPr>
          <w:rFonts w:ascii="Times New Roman" w:hAnsi="Times New Roman" w:cs="Times New Roman"/>
          <w:i/>
          <w:sz w:val="20"/>
          <w:szCs w:val="20"/>
        </w:rPr>
        <w:t xml:space="preserve">, University </w:t>
      </w:r>
      <w:proofErr w:type="spellStart"/>
      <w:r w:rsidRPr="00E00948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E00948">
        <w:rPr>
          <w:rFonts w:ascii="Times New Roman" w:hAnsi="Times New Roman" w:cs="Times New Roman"/>
          <w:i/>
          <w:sz w:val="20"/>
          <w:szCs w:val="20"/>
        </w:rPr>
        <w:t xml:space="preserve"> Michigan, Ann </w:t>
      </w:r>
      <w:proofErr w:type="spellStart"/>
      <w:r w:rsidRPr="00E00948">
        <w:rPr>
          <w:rFonts w:ascii="Times New Roman" w:hAnsi="Times New Roman" w:cs="Times New Roman"/>
          <w:i/>
          <w:sz w:val="20"/>
          <w:szCs w:val="20"/>
        </w:rPr>
        <w:t>Arbor</w:t>
      </w:r>
      <w:proofErr w:type="spellEnd"/>
      <w:r w:rsidRPr="00E00948">
        <w:rPr>
          <w:rFonts w:ascii="Times New Roman" w:hAnsi="Times New Roman" w:cs="Times New Roman"/>
          <w:i/>
          <w:sz w:val="20"/>
          <w:szCs w:val="20"/>
        </w:rPr>
        <w:t>, MI</w:t>
      </w:r>
    </w:p>
    <w:p w:rsidR="00E00948" w:rsidRPr="00F65B41" w:rsidRDefault="00E00948" w:rsidP="00F65B4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95D5C" w:rsidRPr="003D111D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Purpose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Objective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(s):</w:t>
      </w:r>
      <w:r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strongest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independent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factor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population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registry data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omission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androgen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deprivation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(ADT) in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men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receiving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brachytherapy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(BT).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despite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fact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ADT has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demonstrated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improve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distant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metastasis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-free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(DMFS) and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(OS) in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randomized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trials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treating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external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beam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(EBRT),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whereas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addition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a BT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boost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has not.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Given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discrepancy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clinical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practice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level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1 evidence,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sought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perform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a meta-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comparing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benefits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addition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ADT versus BT in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intermediate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-risk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prostate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>.</w:t>
      </w:r>
    </w:p>
    <w:p w:rsidR="00F335D4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Materials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Methods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:</w:t>
      </w:r>
      <w:r w:rsidRPr="003D111D">
        <w:rPr>
          <w:rFonts w:ascii="Times New Roman" w:hAnsi="Times New Roman" w:cs="Times New Roman"/>
          <w:sz w:val="20"/>
          <w:szCs w:val="20"/>
        </w:rPr>
        <w:t xml:space="preserve"> </w:t>
      </w:r>
      <w:r w:rsidR="00E00948" w:rsidRPr="00E00948">
        <w:rPr>
          <w:rFonts w:ascii="Times New Roman" w:hAnsi="Times New Roman" w:cs="Times New Roman"/>
          <w:sz w:val="20"/>
          <w:szCs w:val="20"/>
        </w:rPr>
        <w:t xml:space="preserve">MEDLINE and </w:t>
      </w:r>
      <w:r w:rsidR="00E00948" w:rsidRPr="00E00948">
        <w:rPr>
          <w:rFonts w:ascii="Times New Roman" w:hAnsi="Times New Roman" w:cs="Times New Roman"/>
          <w:sz w:val="20"/>
          <w:szCs w:val="20"/>
          <w:u w:val="single"/>
        </w:rPr>
        <w:t>clinicaltrials.gov</w:t>
      </w:r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databases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searched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phase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III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randomized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trials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investigating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oncologic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benefit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adding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ADT to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either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conventional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dose-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escalated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EBRT versus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addition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BT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ADT to EBRT.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trials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required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to report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biochemical-recurrence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free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(BRFS) and OS. Meta-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analyses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performed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random-effect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modeling, and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extent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heterogeneity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determined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Cochran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Q and I(2)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tests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Pooled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hazard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ratios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(HR)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determined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each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endpoint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addition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ADT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vs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addition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BT. A model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created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different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pooled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HR to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calculate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absolute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potential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benefit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addition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ADT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BT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on a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patient’s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baseline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death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>.</w:t>
      </w:r>
    </w:p>
    <w:p w:rsidR="007F0AD4" w:rsidRDefault="00195D5C" w:rsidP="007F0AD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97807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  <w:r w:rsidRPr="00397807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r w:rsidR="00E00948" w:rsidRPr="00E00948">
        <w:rPr>
          <w:rFonts w:ascii="Times New Roman" w:hAnsi="Times New Roman" w:cs="Times New Roman"/>
          <w:sz w:val="20"/>
          <w:szCs w:val="20"/>
        </w:rPr>
        <w:t xml:space="preserve">In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total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, 6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trials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4,663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men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met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inclusion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criteria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comparison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EBRT +/- ADT (RTOG 8610, EORTC 22863, RTOG 9408, DFCI 95096, TROG 9601, EORTC 2291), and 3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trials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718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men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EBRT +/- BT (ASCENDE-RT, Ontario, UK).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Nearly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men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had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intermediate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prostate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Addition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ADT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BT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resulted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similar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improvement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in BRFS (ADT HR: 0.53 [95%CI 0.48-0.58], BT HR: 0.51 [95%CI 0.36-0.73]).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DMFS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addition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ADT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improved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DMFS (HR 0.67 [95%CI 0.54-0.83])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while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addition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BT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did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not (HR: 0.83 [95%CI 0.50-1.38]).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Similarly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adding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ADT to EBRT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improved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OS (HR 0.74 [95%CI 0.64-0.86]),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whereas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addition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BT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did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not (HR: 0.97 [95%CI 0.72-1.31]).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Estimated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improvements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in </w:t>
      </w:r>
      <w:proofErr w:type="gramStart"/>
      <w:r w:rsidR="00E00948" w:rsidRPr="00E00948">
        <w:rPr>
          <w:rFonts w:ascii="Times New Roman" w:hAnsi="Times New Roman" w:cs="Times New Roman"/>
          <w:sz w:val="20"/>
          <w:szCs w:val="20"/>
        </w:rPr>
        <w:t>10-year</w:t>
      </w:r>
      <w:proofErr w:type="gram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OS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underlying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death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addition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ADT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BT are in Table 1.</w:t>
      </w:r>
    </w:p>
    <w:p w:rsidR="00DA56CE" w:rsidRDefault="00195D5C" w:rsidP="00DA56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95D5C">
        <w:rPr>
          <w:rFonts w:ascii="Times New Roman" w:hAnsi="Times New Roman" w:cs="Times New Roman"/>
          <w:b/>
          <w:sz w:val="20"/>
          <w:szCs w:val="20"/>
        </w:rPr>
        <w:t>Conclusion</w:t>
      </w:r>
      <w:proofErr w:type="spellEnd"/>
      <w:r w:rsidRPr="00195D5C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addition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either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ADT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BT to EBRT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similarly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improves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BRFS in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men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intermediate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prostate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Conversely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addition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ADT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improves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DMFS and OS by 20-30%,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whereas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addition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a BT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boost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does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not. In absence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randomized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trial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showing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otherwise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addition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a BT to EBRT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replace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ADT, and ADT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given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BT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unfavorable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intermediate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-risk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prostate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0948" w:rsidRPr="00E00948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="00E00948" w:rsidRPr="00E00948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DA56CE" w:rsidSect="007F0AD4">
      <w:pgSz w:w="11900" w:h="16840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46"/>
    <w:rsid w:val="000027C0"/>
    <w:rsid w:val="0005547B"/>
    <w:rsid w:val="000756B5"/>
    <w:rsid w:val="00081DEE"/>
    <w:rsid w:val="000C516E"/>
    <w:rsid w:val="001165B9"/>
    <w:rsid w:val="00163944"/>
    <w:rsid w:val="001762F7"/>
    <w:rsid w:val="00195D5C"/>
    <w:rsid w:val="001E579E"/>
    <w:rsid w:val="00217E5B"/>
    <w:rsid w:val="002252C3"/>
    <w:rsid w:val="00240F70"/>
    <w:rsid w:val="002437F0"/>
    <w:rsid w:val="00250DA8"/>
    <w:rsid w:val="002574CB"/>
    <w:rsid w:val="0026185F"/>
    <w:rsid w:val="00267408"/>
    <w:rsid w:val="002C7FA7"/>
    <w:rsid w:val="002E1815"/>
    <w:rsid w:val="003071AD"/>
    <w:rsid w:val="00365446"/>
    <w:rsid w:val="00386664"/>
    <w:rsid w:val="00397807"/>
    <w:rsid w:val="003A5B9B"/>
    <w:rsid w:val="003D111D"/>
    <w:rsid w:val="004668FA"/>
    <w:rsid w:val="004C677A"/>
    <w:rsid w:val="00542F3B"/>
    <w:rsid w:val="00566AF3"/>
    <w:rsid w:val="00573C6A"/>
    <w:rsid w:val="00590C71"/>
    <w:rsid w:val="005927F2"/>
    <w:rsid w:val="005F13E0"/>
    <w:rsid w:val="00733C88"/>
    <w:rsid w:val="00773872"/>
    <w:rsid w:val="0077466E"/>
    <w:rsid w:val="007F0AD4"/>
    <w:rsid w:val="007F393D"/>
    <w:rsid w:val="0080397A"/>
    <w:rsid w:val="00815153"/>
    <w:rsid w:val="008E0E67"/>
    <w:rsid w:val="00933112"/>
    <w:rsid w:val="00997564"/>
    <w:rsid w:val="009A4427"/>
    <w:rsid w:val="009D5235"/>
    <w:rsid w:val="009F13D1"/>
    <w:rsid w:val="009F73A1"/>
    <w:rsid w:val="00A74A7A"/>
    <w:rsid w:val="00A80F0B"/>
    <w:rsid w:val="00AD4BC5"/>
    <w:rsid w:val="00B15C79"/>
    <w:rsid w:val="00B23696"/>
    <w:rsid w:val="00B301E7"/>
    <w:rsid w:val="00B86286"/>
    <w:rsid w:val="00BA229E"/>
    <w:rsid w:val="00BB5FC8"/>
    <w:rsid w:val="00BD2622"/>
    <w:rsid w:val="00BF7CE5"/>
    <w:rsid w:val="00C04672"/>
    <w:rsid w:val="00C20916"/>
    <w:rsid w:val="00C31CD0"/>
    <w:rsid w:val="00CC1A70"/>
    <w:rsid w:val="00D038D7"/>
    <w:rsid w:val="00D15187"/>
    <w:rsid w:val="00D757EF"/>
    <w:rsid w:val="00D93A63"/>
    <w:rsid w:val="00DA56CE"/>
    <w:rsid w:val="00DC269F"/>
    <w:rsid w:val="00DC2F08"/>
    <w:rsid w:val="00DF0661"/>
    <w:rsid w:val="00E00948"/>
    <w:rsid w:val="00E0122D"/>
    <w:rsid w:val="00E27556"/>
    <w:rsid w:val="00E61CBD"/>
    <w:rsid w:val="00EB16E2"/>
    <w:rsid w:val="00F07D37"/>
    <w:rsid w:val="00F335D4"/>
    <w:rsid w:val="00F41CAB"/>
    <w:rsid w:val="00F63352"/>
    <w:rsid w:val="00F65B41"/>
    <w:rsid w:val="00F7475F"/>
    <w:rsid w:val="00FC083F"/>
    <w:rsid w:val="00FC6F28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84B91-ADFA-4F64-ADF5-F6CF18C3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544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51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underline">
    <w:name w:val="underline"/>
    <w:basedOn w:val="Standardnpsmoodstavce"/>
    <w:rsid w:val="00815153"/>
  </w:style>
  <w:style w:type="character" w:styleId="Siln">
    <w:name w:val="Strong"/>
    <w:basedOn w:val="Standardnpsmoodstavce"/>
    <w:uiPriority w:val="22"/>
    <w:qFormat/>
    <w:rsid w:val="0081515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15153"/>
    <w:rPr>
      <w:color w:val="0000FF"/>
      <w:u w:val="single"/>
    </w:rPr>
  </w:style>
  <w:style w:type="character" w:customStyle="1" w:styleId="label">
    <w:name w:val="label"/>
    <w:basedOn w:val="Standardnpsmoodstavce"/>
    <w:rsid w:val="00FC6F28"/>
  </w:style>
  <w:style w:type="character" w:styleId="Zdraznn">
    <w:name w:val="Emphasis"/>
    <w:basedOn w:val="Standardnpsmoodstavce"/>
    <w:uiPriority w:val="20"/>
    <w:qFormat/>
    <w:rsid w:val="00FC6F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3380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9609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C1022C"/>
                <w:bottom w:val="single" w:sz="6" w:space="4" w:color="C1022C"/>
                <w:right w:val="single" w:sz="6" w:space="8" w:color="C1022C"/>
              </w:divBdr>
              <w:divsChild>
                <w:div w:id="17358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53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85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Multiscan Multiscan</dc:creator>
  <cp:keywords/>
  <dc:description/>
  <cp:lastModifiedBy>Multiscan Multiscan</cp:lastModifiedBy>
  <cp:revision>4</cp:revision>
  <dcterms:created xsi:type="dcterms:W3CDTF">2018-11-19T12:24:00Z</dcterms:created>
  <dcterms:modified xsi:type="dcterms:W3CDTF">2018-11-20T10:51:00Z</dcterms:modified>
</cp:coreProperties>
</file>