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3D1" w:rsidRDefault="0077466E" w:rsidP="009F13D1">
      <w:pPr>
        <w:spacing w:line="360" w:lineRule="auto"/>
        <w:rPr>
          <w:rFonts w:ascii="Times New Roman" w:hAnsi="Times New Roman" w:cs="Times New Roman"/>
          <w:b/>
          <w:szCs w:val="20"/>
        </w:rPr>
      </w:pPr>
      <w:proofErr w:type="spellStart"/>
      <w:r w:rsidRPr="0077466E">
        <w:rPr>
          <w:rFonts w:ascii="Times New Roman" w:hAnsi="Times New Roman" w:cs="Times New Roman"/>
          <w:b/>
          <w:szCs w:val="20"/>
        </w:rPr>
        <w:t>Patient</w:t>
      </w:r>
      <w:proofErr w:type="spellEnd"/>
      <w:r w:rsidRPr="0077466E">
        <w:rPr>
          <w:rFonts w:ascii="Times New Roman" w:hAnsi="Times New Roman" w:cs="Times New Roman"/>
          <w:b/>
          <w:szCs w:val="20"/>
        </w:rPr>
        <w:t xml:space="preserve"> </w:t>
      </w:r>
      <w:proofErr w:type="spellStart"/>
      <w:r w:rsidRPr="0077466E">
        <w:rPr>
          <w:rFonts w:ascii="Times New Roman" w:hAnsi="Times New Roman" w:cs="Times New Roman"/>
          <w:b/>
          <w:szCs w:val="20"/>
        </w:rPr>
        <w:t>Reported</w:t>
      </w:r>
      <w:proofErr w:type="spellEnd"/>
      <w:r w:rsidRPr="0077466E">
        <w:rPr>
          <w:rFonts w:ascii="Times New Roman" w:hAnsi="Times New Roman" w:cs="Times New Roman"/>
          <w:b/>
          <w:szCs w:val="20"/>
        </w:rPr>
        <w:t xml:space="preserve"> </w:t>
      </w:r>
      <w:proofErr w:type="spellStart"/>
      <w:r w:rsidRPr="0077466E">
        <w:rPr>
          <w:rFonts w:ascii="Times New Roman" w:hAnsi="Times New Roman" w:cs="Times New Roman"/>
          <w:b/>
          <w:szCs w:val="20"/>
        </w:rPr>
        <w:t>Outcomes</w:t>
      </w:r>
      <w:proofErr w:type="spellEnd"/>
      <w:r w:rsidRPr="0077466E">
        <w:rPr>
          <w:rFonts w:ascii="Times New Roman" w:hAnsi="Times New Roman" w:cs="Times New Roman"/>
          <w:b/>
          <w:szCs w:val="20"/>
        </w:rPr>
        <w:t xml:space="preserve"> </w:t>
      </w:r>
      <w:proofErr w:type="spellStart"/>
      <w:r w:rsidRPr="0077466E">
        <w:rPr>
          <w:rFonts w:ascii="Times New Roman" w:hAnsi="Times New Roman" w:cs="Times New Roman"/>
          <w:b/>
          <w:szCs w:val="20"/>
        </w:rPr>
        <w:t>of</w:t>
      </w:r>
      <w:proofErr w:type="spellEnd"/>
      <w:r w:rsidRPr="0077466E">
        <w:rPr>
          <w:rFonts w:ascii="Times New Roman" w:hAnsi="Times New Roman" w:cs="Times New Roman"/>
          <w:b/>
          <w:szCs w:val="20"/>
        </w:rPr>
        <w:t xml:space="preserve"> NRG </w:t>
      </w:r>
      <w:proofErr w:type="spellStart"/>
      <w:r w:rsidRPr="0077466E">
        <w:rPr>
          <w:rFonts w:ascii="Times New Roman" w:hAnsi="Times New Roman" w:cs="Times New Roman"/>
          <w:b/>
          <w:szCs w:val="20"/>
        </w:rPr>
        <w:t>Oncology</w:t>
      </w:r>
      <w:proofErr w:type="spellEnd"/>
      <w:r w:rsidRPr="0077466E">
        <w:rPr>
          <w:rFonts w:ascii="Times New Roman" w:hAnsi="Times New Roman" w:cs="Times New Roman"/>
          <w:b/>
          <w:szCs w:val="20"/>
        </w:rPr>
        <w:t xml:space="preserve">/RTOG 0232: A </w:t>
      </w:r>
      <w:proofErr w:type="spellStart"/>
      <w:r w:rsidRPr="0077466E">
        <w:rPr>
          <w:rFonts w:ascii="Times New Roman" w:hAnsi="Times New Roman" w:cs="Times New Roman"/>
          <w:b/>
          <w:szCs w:val="20"/>
        </w:rPr>
        <w:t>Phase</w:t>
      </w:r>
      <w:proofErr w:type="spellEnd"/>
      <w:r w:rsidRPr="0077466E">
        <w:rPr>
          <w:rFonts w:ascii="Times New Roman" w:hAnsi="Times New Roman" w:cs="Times New Roman"/>
          <w:b/>
          <w:szCs w:val="20"/>
        </w:rPr>
        <w:t xml:space="preserve"> III Study </w:t>
      </w:r>
      <w:proofErr w:type="spellStart"/>
      <w:r w:rsidRPr="0077466E">
        <w:rPr>
          <w:rFonts w:ascii="Times New Roman" w:hAnsi="Times New Roman" w:cs="Times New Roman"/>
          <w:b/>
          <w:szCs w:val="20"/>
        </w:rPr>
        <w:t>Comparing</w:t>
      </w:r>
      <w:proofErr w:type="spellEnd"/>
      <w:r w:rsidRPr="0077466E">
        <w:rPr>
          <w:rFonts w:ascii="Times New Roman" w:hAnsi="Times New Roman" w:cs="Times New Roman"/>
          <w:b/>
          <w:szCs w:val="20"/>
        </w:rPr>
        <w:t xml:space="preserve"> </w:t>
      </w:r>
      <w:proofErr w:type="spellStart"/>
      <w:r w:rsidRPr="0077466E">
        <w:rPr>
          <w:rFonts w:ascii="Times New Roman" w:hAnsi="Times New Roman" w:cs="Times New Roman"/>
          <w:b/>
          <w:szCs w:val="20"/>
        </w:rPr>
        <w:t>Combined</w:t>
      </w:r>
      <w:proofErr w:type="spellEnd"/>
      <w:r w:rsidRPr="0077466E">
        <w:rPr>
          <w:rFonts w:ascii="Times New Roman" w:hAnsi="Times New Roman" w:cs="Times New Roman"/>
          <w:b/>
          <w:szCs w:val="20"/>
        </w:rPr>
        <w:t xml:space="preserve"> </w:t>
      </w:r>
      <w:proofErr w:type="spellStart"/>
      <w:r w:rsidRPr="0077466E">
        <w:rPr>
          <w:rFonts w:ascii="Times New Roman" w:hAnsi="Times New Roman" w:cs="Times New Roman"/>
          <w:b/>
          <w:szCs w:val="20"/>
        </w:rPr>
        <w:t>External</w:t>
      </w:r>
      <w:proofErr w:type="spellEnd"/>
      <w:r w:rsidRPr="0077466E">
        <w:rPr>
          <w:rFonts w:ascii="Times New Roman" w:hAnsi="Times New Roman" w:cs="Times New Roman"/>
          <w:b/>
          <w:szCs w:val="20"/>
        </w:rPr>
        <w:t xml:space="preserve"> </w:t>
      </w:r>
      <w:proofErr w:type="spellStart"/>
      <w:r w:rsidRPr="0077466E">
        <w:rPr>
          <w:rFonts w:ascii="Times New Roman" w:hAnsi="Times New Roman" w:cs="Times New Roman"/>
          <w:b/>
          <w:szCs w:val="20"/>
        </w:rPr>
        <w:t>Beam</w:t>
      </w:r>
      <w:proofErr w:type="spellEnd"/>
      <w:r w:rsidRPr="0077466E">
        <w:rPr>
          <w:rFonts w:ascii="Times New Roman" w:hAnsi="Times New Roman" w:cs="Times New Roman"/>
          <w:b/>
          <w:szCs w:val="20"/>
        </w:rPr>
        <w:t xml:space="preserve"> </w:t>
      </w:r>
      <w:proofErr w:type="spellStart"/>
      <w:r w:rsidRPr="0077466E">
        <w:rPr>
          <w:rFonts w:ascii="Times New Roman" w:hAnsi="Times New Roman" w:cs="Times New Roman"/>
          <w:b/>
          <w:szCs w:val="20"/>
        </w:rPr>
        <w:t>Radiation</w:t>
      </w:r>
      <w:proofErr w:type="spellEnd"/>
      <w:r w:rsidRPr="0077466E">
        <w:rPr>
          <w:rFonts w:ascii="Times New Roman" w:hAnsi="Times New Roman" w:cs="Times New Roman"/>
          <w:b/>
          <w:szCs w:val="20"/>
        </w:rPr>
        <w:t xml:space="preserve"> and </w:t>
      </w:r>
      <w:proofErr w:type="spellStart"/>
      <w:r w:rsidRPr="0077466E">
        <w:rPr>
          <w:rFonts w:ascii="Times New Roman" w:hAnsi="Times New Roman" w:cs="Times New Roman"/>
          <w:b/>
          <w:szCs w:val="20"/>
        </w:rPr>
        <w:t>Transperineal</w:t>
      </w:r>
      <w:proofErr w:type="spellEnd"/>
      <w:r w:rsidRPr="0077466E">
        <w:rPr>
          <w:rFonts w:ascii="Times New Roman" w:hAnsi="Times New Roman" w:cs="Times New Roman"/>
          <w:b/>
          <w:szCs w:val="20"/>
        </w:rPr>
        <w:t xml:space="preserve"> </w:t>
      </w:r>
      <w:proofErr w:type="spellStart"/>
      <w:r w:rsidRPr="0077466E">
        <w:rPr>
          <w:rFonts w:ascii="Times New Roman" w:hAnsi="Times New Roman" w:cs="Times New Roman"/>
          <w:b/>
          <w:szCs w:val="20"/>
        </w:rPr>
        <w:t>Interstitial</w:t>
      </w:r>
      <w:proofErr w:type="spellEnd"/>
      <w:r w:rsidRPr="0077466E">
        <w:rPr>
          <w:rFonts w:ascii="Times New Roman" w:hAnsi="Times New Roman" w:cs="Times New Roman"/>
          <w:b/>
          <w:szCs w:val="20"/>
        </w:rPr>
        <w:t xml:space="preserve"> Permanent </w:t>
      </w:r>
      <w:proofErr w:type="spellStart"/>
      <w:r w:rsidRPr="0077466E">
        <w:rPr>
          <w:rFonts w:ascii="Times New Roman" w:hAnsi="Times New Roman" w:cs="Times New Roman"/>
          <w:b/>
          <w:szCs w:val="20"/>
        </w:rPr>
        <w:t>Brachytherapy</w:t>
      </w:r>
      <w:proofErr w:type="spellEnd"/>
      <w:r w:rsidRPr="0077466E">
        <w:rPr>
          <w:rFonts w:ascii="Times New Roman" w:hAnsi="Times New Roman" w:cs="Times New Roman"/>
          <w:b/>
          <w:szCs w:val="20"/>
        </w:rPr>
        <w:t xml:space="preserve"> </w:t>
      </w:r>
      <w:proofErr w:type="spellStart"/>
      <w:r w:rsidRPr="0077466E">
        <w:rPr>
          <w:rFonts w:ascii="Times New Roman" w:hAnsi="Times New Roman" w:cs="Times New Roman"/>
          <w:b/>
          <w:szCs w:val="20"/>
        </w:rPr>
        <w:t>with</w:t>
      </w:r>
      <w:proofErr w:type="spellEnd"/>
      <w:r w:rsidRPr="0077466E">
        <w:rPr>
          <w:rFonts w:ascii="Times New Roman" w:hAnsi="Times New Roman" w:cs="Times New Roman"/>
          <w:b/>
          <w:szCs w:val="20"/>
        </w:rPr>
        <w:t xml:space="preserve"> </w:t>
      </w:r>
      <w:proofErr w:type="spellStart"/>
      <w:r w:rsidRPr="0077466E">
        <w:rPr>
          <w:rFonts w:ascii="Times New Roman" w:hAnsi="Times New Roman" w:cs="Times New Roman"/>
          <w:b/>
          <w:szCs w:val="20"/>
        </w:rPr>
        <w:t>Brachytherapy</w:t>
      </w:r>
      <w:proofErr w:type="spellEnd"/>
      <w:r w:rsidRPr="0077466E">
        <w:rPr>
          <w:rFonts w:ascii="Times New Roman" w:hAnsi="Times New Roman" w:cs="Times New Roman"/>
          <w:b/>
          <w:szCs w:val="20"/>
        </w:rPr>
        <w:t xml:space="preserve"> </w:t>
      </w:r>
      <w:proofErr w:type="spellStart"/>
      <w:r w:rsidRPr="0077466E">
        <w:rPr>
          <w:rFonts w:ascii="Times New Roman" w:hAnsi="Times New Roman" w:cs="Times New Roman"/>
          <w:b/>
          <w:szCs w:val="20"/>
        </w:rPr>
        <w:t>Alone</w:t>
      </w:r>
      <w:proofErr w:type="spellEnd"/>
      <w:r w:rsidRPr="0077466E">
        <w:rPr>
          <w:rFonts w:ascii="Times New Roman" w:hAnsi="Times New Roman" w:cs="Times New Roman"/>
          <w:b/>
          <w:szCs w:val="20"/>
        </w:rPr>
        <w:t xml:space="preserve"> in </w:t>
      </w:r>
      <w:proofErr w:type="spellStart"/>
      <w:r w:rsidRPr="0077466E">
        <w:rPr>
          <w:rFonts w:ascii="Times New Roman" w:hAnsi="Times New Roman" w:cs="Times New Roman"/>
          <w:b/>
          <w:szCs w:val="20"/>
        </w:rPr>
        <w:t>Intermediate</w:t>
      </w:r>
      <w:proofErr w:type="spellEnd"/>
      <w:r w:rsidRPr="0077466E">
        <w:rPr>
          <w:rFonts w:ascii="Times New Roman" w:hAnsi="Times New Roman" w:cs="Times New Roman"/>
          <w:b/>
          <w:szCs w:val="20"/>
        </w:rPr>
        <w:t xml:space="preserve"> Risk </w:t>
      </w:r>
      <w:proofErr w:type="spellStart"/>
      <w:r w:rsidRPr="0077466E">
        <w:rPr>
          <w:rFonts w:ascii="Times New Roman" w:hAnsi="Times New Roman" w:cs="Times New Roman"/>
          <w:b/>
          <w:szCs w:val="20"/>
        </w:rPr>
        <w:t>Prostate</w:t>
      </w:r>
      <w:proofErr w:type="spellEnd"/>
      <w:r w:rsidRPr="0077466E">
        <w:rPr>
          <w:rFonts w:ascii="Times New Roman" w:hAnsi="Times New Roman" w:cs="Times New Roman"/>
          <w:b/>
          <w:szCs w:val="20"/>
        </w:rPr>
        <w:t xml:space="preserve"> </w:t>
      </w:r>
      <w:proofErr w:type="spellStart"/>
      <w:r w:rsidRPr="0077466E">
        <w:rPr>
          <w:rFonts w:ascii="Times New Roman" w:hAnsi="Times New Roman" w:cs="Times New Roman"/>
          <w:b/>
          <w:szCs w:val="20"/>
        </w:rPr>
        <w:t>Cancer</w:t>
      </w:r>
      <w:proofErr w:type="spellEnd"/>
    </w:p>
    <w:p w:rsidR="0077466E" w:rsidRPr="000E0DAF" w:rsidRDefault="0077466E" w:rsidP="009F13D1">
      <w:pPr>
        <w:spacing w:line="360" w:lineRule="auto"/>
        <w:rPr>
          <w:rFonts w:ascii="Times New Roman" w:hAnsi="Times New Roman" w:cs="Times New Roman"/>
          <w:b/>
          <w:szCs w:val="20"/>
        </w:rPr>
      </w:pPr>
    </w:p>
    <w:p w:rsidR="00365446" w:rsidRDefault="00267408" w:rsidP="00267408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267408">
        <w:rPr>
          <w:rFonts w:ascii="Times New Roman" w:hAnsi="Times New Roman" w:cs="Times New Roman"/>
          <w:sz w:val="20"/>
          <w:szCs w:val="20"/>
        </w:rPr>
        <w:t>D.W.</w:t>
      </w:r>
      <w:proofErr w:type="gramEnd"/>
      <w:r w:rsidRPr="00267408">
        <w:rPr>
          <w:rFonts w:ascii="Times New Roman" w:hAnsi="Times New Roman" w:cs="Times New Roman"/>
          <w:sz w:val="20"/>
          <w:szCs w:val="20"/>
        </w:rPr>
        <w:t xml:space="preserve"> Bruner,</w:t>
      </w:r>
      <w:r w:rsidRPr="00267408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267408">
        <w:rPr>
          <w:rFonts w:ascii="Times New Roman" w:hAnsi="Times New Roman" w:cs="Times New Roman"/>
          <w:sz w:val="20"/>
          <w:szCs w:val="20"/>
        </w:rPr>
        <w:t xml:space="preserve"> J. </w:t>
      </w:r>
      <w:proofErr w:type="gramStart"/>
      <w:r w:rsidRPr="00267408">
        <w:rPr>
          <w:rFonts w:ascii="Times New Roman" w:hAnsi="Times New Roman" w:cs="Times New Roman"/>
          <w:sz w:val="20"/>
          <w:szCs w:val="20"/>
        </w:rPr>
        <w:t>Moughan,</w:t>
      </w:r>
      <w:r w:rsidRPr="00267408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267408">
        <w:rPr>
          <w:rFonts w:ascii="Times New Roman" w:hAnsi="Times New Roman" w:cs="Times New Roman"/>
          <w:sz w:val="20"/>
          <w:szCs w:val="20"/>
        </w:rPr>
        <w:t xml:space="preserve"> B.R.</w:t>
      </w:r>
      <w:proofErr w:type="gramEnd"/>
      <w:r w:rsidRPr="00267408">
        <w:rPr>
          <w:rFonts w:ascii="Times New Roman" w:hAnsi="Times New Roman" w:cs="Times New Roman"/>
          <w:sz w:val="20"/>
          <w:szCs w:val="20"/>
        </w:rPr>
        <w:t xml:space="preserve"> Prestidge,</w:t>
      </w:r>
      <w:r w:rsidRPr="00267408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26740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67408">
        <w:rPr>
          <w:rFonts w:ascii="Times New Roman" w:hAnsi="Times New Roman" w:cs="Times New Roman"/>
          <w:sz w:val="20"/>
          <w:szCs w:val="20"/>
        </w:rPr>
        <w:t>M.G.</w:t>
      </w:r>
      <w:proofErr w:type="gramEnd"/>
      <w:r w:rsidRPr="00267408">
        <w:rPr>
          <w:rFonts w:ascii="Times New Roman" w:hAnsi="Times New Roman" w:cs="Times New Roman"/>
          <w:sz w:val="20"/>
          <w:szCs w:val="20"/>
        </w:rPr>
        <w:t xml:space="preserve"> Sanda,</w:t>
      </w:r>
      <w:r w:rsidRPr="00267408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267408">
        <w:rPr>
          <w:rFonts w:ascii="Times New Roman" w:hAnsi="Times New Roman" w:cs="Times New Roman"/>
          <w:sz w:val="20"/>
          <w:szCs w:val="20"/>
        </w:rPr>
        <w:t xml:space="preserve"> W. Bice,</w:t>
      </w:r>
      <w:r w:rsidRPr="00267408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67408">
        <w:rPr>
          <w:rFonts w:ascii="Times New Roman" w:hAnsi="Times New Roman" w:cs="Times New Roman"/>
          <w:sz w:val="20"/>
          <w:szCs w:val="20"/>
        </w:rPr>
        <w:t>J.M.</w:t>
      </w:r>
      <w:proofErr w:type="gramEnd"/>
      <w:r w:rsidRPr="0026740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67408">
        <w:rPr>
          <w:rFonts w:ascii="Times New Roman" w:hAnsi="Times New Roman" w:cs="Times New Roman"/>
          <w:sz w:val="20"/>
          <w:szCs w:val="20"/>
        </w:rPr>
        <w:t>Michalski,</w:t>
      </w:r>
      <w:r w:rsidRPr="00267408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Pr="00267408">
        <w:rPr>
          <w:rFonts w:ascii="Times New Roman" w:hAnsi="Times New Roman" w:cs="Times New Roman"/>
          <w:sz w:val="20"/>
          <w:szCs w:val="20"/>
        </w:rPr>
        <w:t xml:space="preserve"> G.S.</w:t>
      </w:r>
      <w:proofErr w:type="gramEnd"/>
      <w:r w:rsidRPr="00267408">
        <w:rPr>
          <w:rFonts w:ascii="Times New Roman" w:hAnsi="Times New Roman" w:cs="Times New Roman"/>
          <w:sz w:val="20"/>
          <w:szCs w:val="20"/>
        </w:rPr>
        <w:t xml:space="preserve"> Ibbott,</w:t>
      </w:r>
      <w:r w:rsidRPr="00267408">
        <w:rPr>
          <w:rFonts w:ascii="Times New Roman" w:hAnsi="Times New Roman" w:cs="Times New Roman"/>
          <w:sz w:val="20"/>
          <w:szCs w:val="20"/>
          <w:vertAlign w:val="superscript"/>
        </w:rPr>
        <w:t>6</w:t>
      </w:r>
      <w:r w:rsidRPr="00267408">
        <w:rPr>
          <w:rFonts w:ascii="Times New Roman" w:hAnsi="Times New Roman" w:cs="Times New Roman"/>
          <w:sz w:val="20"/>
          <w:szCs w:val="20"/>
        </w:rPr>
        <w:t xml:space="preserve"> M. Amin,</w:t>
      </w:r>
      <w:r w:rsidRPr="00267408">
        <w:rPr>
          <w:rFonts w:ascii="Times New Roman" w:hAnsi="Times New Roman" w:cs="Times New Roman"/>
          <w:sz w:val="20"/>
          <w:szCs w:val="20"/>
          <w:vertAlign w:val="superscript"/>
        </w:rPr>
        <w:t>7</w:t>
      </w:r>
      <w:r w:rsidRPr="0026740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67408">
        <w:rPr>
          <w:rFonts w:ascii="Times New Roman" w:hAnsi="Times New Roman" w:cs="Times New Roman"/>
          <w:sz w:val="20"/>
          <w:szCs w:val="20"/>
        </w:rPr>
        <w:t>C.N.</w:t>
      </w:r>
      <w:proofErr w:type="gramEnd"/>
      <w:r w:rsidRPr="00267408">
        <w:rPr>
          <w:rFonts w:ascii="Times New Roman" w:hAnsi="Times New Roman" w:cs="Times New Roman"/>
          <w:sz w:val="20"/>
          <w:szCs w:val="20"/>
        </w:rPr>
        <w:t xml:space="preserve"> Catton,</w:t>
      </w:r>
      <w:r w:rsidRPr="00267408">
        <w:rPr>
          <w:rFonts w:ascii="Times New Roman" w:hAnsi="Times New Roman" w:cs="Times New Roman"/>
          <w:sz w:val="20"/>
          <w:szCs w:val="20"/>
          <w:vertAlign w:val="superscript"/>
        </w:rPr>
        <w:t>8</w:t>
      </w:r>
      <w:r w:rsidRPr="00267408">
        <w:rPr>
          <w:rFonts w:ascii="Times New Roman" w:hAnsi="Times New Roman" w:cs="Times New Roman"/>
          <w:sz w:val="20"/>
          <w:szCs w:val="20"/>
        </w:rPr>
        <w:t xml:space="preserve"> V. Donavanik,</w:t>
      </w:r>
      <w:r w:rsidRPr="00267408">
        <w:rPr>
          <w:rFonts w:ascii="Times New Roman" w:hAnsi="Times New Roman" w:cs="Times New Roman"/>
          <w:sz w:val="20"/>
          <w:szCs w:val="20"/>
          <w:vertAlign w:val="superscript"/>
        </w:rPr>
        <w:t>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67408">
        <w:rPr>
          <w:rFonts w:ascii="Times New Roman" w:hAnsi="Times New Roman" w:cs="Times New Roman"/>
          <w:sz w:val="20"/>
          <w:szCs w:val="20"/>
        </w:rPr>
        <w:t>H.A. Gay,</w:t>
      </w:r>
      <w:r w:rsidRPr="00267408">
        <w:rPr>
          <w:rFonts w:ascii="Times New Roman" w:hAnsi="Times New Roman" w:cs="Times New Roman"/>
          <w:sz w:val="20"/>
          <w:szCs w:val="20"/>
          <w:vertAlign w:val="superscript"/>
        </w:rPr>
        <w:t>10</w:t>
      </w:r>
      <w:r w:rsidRPr="00267408">
        <w:rPr>
          <w:rFonts w:ascii="Times New Roman" w:hAnsi="Times New Roman" w:cs="Times New Roman"/>
          <w:sz w:val="20"/>
          <w:szCs w:val="20"/>
        </w:rPr>
        <w:t xml:space="preserve"> D.G. Brachman,</w:t>
      </w:r>
      <w:r w:rsidRPr="00267408">
        <w:rPr>
          <w:rFonts w:ascii="Times New Roman" w:hAnsi="Times New Roman" w:cs="Times New Roman"/>
          <w:sz w:val="20"/>
          <w:szCs w:val="20"/>
          <w:vertAlign w:val="superscript"/>
        </w:rPr>
        <w:t>11</w:t>
      </w:r>
      <w:r w:rsidRPr="0026740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67408">
        <w:rPr>
          <w:rFonts w:ascii="Times New Roman" w:hAnsi="Times New Roman" w:cs="Times New Roman"/>
          <w:sz w:val="20"/>
          <w:szCs w:val="20"/>
        </w:rPr>
        <w:t>S.J.</w:t>
      </w:r>
      <w:proofErr w:type="gramEnd"/>
      <w:r w:rsidRPr="00267408">
        <w:rPr>
          <w:rFonts w:ascii="Times New Roman" w:hAnsi="Times New Roman" w:cs="Times New Roman"/>
          <w:sz w:val="20"/>
          <w:szCs w:val="20"/>
        </w:rPr>
        <w:t xml:space="preserve"> Frank,</w:t>
      </w:r>
      <w:r w:rsidRPr="00267408">
        <w:rPr>
          <w:rFonts w:ascii="Times New Roman" w:hAnsi="Times New Roman" w:cs="Times New Roman"/>
          <w:sz w:val="20"/>
          <w:szCs w:val="20"/>
          <w:vertAlign w:val="superscript"/>
        </w:rPr>
        <w:t>6</w:t>
      </w:r>
      <w:r w:rsidRPr="00267408">
        <w:rPr>
          <w:rFonts w:ascii="Times New Roman" w:hAnsi="Times New Roman" w:cs="Times New Roman"/>
          <w:sz w:val="20"/>
          <w:szCs w:val="20"/>
        </w:rPr>
        <w:t xml:space="preserve"> S.A. Rosenthal,</w:t>
      </w:r>
      <w:r w:rsidRPr="00267408">
        <w:rPr>
          <w:rFonts w:ascii="Times New Roman" w:hAnsi="Times New Roman" w:cs="Times New Roman"/>
          <w:sz w:val="20"/>
          <w:szCs w:val="20"/>
          <w:vertAlign w:val="superscript"/>
        </w:rPr>
        <w:t>12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67408">
        <w:rPr>
          <w:rFonts w:ascii="Times New Roman" w:hAnsi="Times New Roman" w:cs="Times New Roman"/>
          <w:sz w:val="20"/>
          <w:szCs w:val="20"/>
        </w:rPr>
        <w:t>U. Matulonis,</w:t>
      </w:r>
      <w:r w:rsidRPr="00267408">
        <w:rPr>
          <w:rFonts w:ascii="Times New Roman" w:hAnsi="Times New Roman" w:cs="Times New Roman"/>
          <w:sz w:val="20"/>
          <w:szCs w:val="20"/>
          <w:vertAlign w:val="superscript"/>
        </w:rPr>
        <w:t>13</w:t>
      </w:r>
      <w:r w:rsidRPr="00267408">
        <w:rPr>
          <w:rFonts w:ascii="Times New Roman" w:hAnsi="Times New Roman" w:cs="Times New Roman"/>
          <w:sz w:val="20"/>
          <w:szCs w:val="20"/>
        </w:rPr>
        <w:t xml:space="preserve"> A. Sadeghi,</w:t>
      </w:r>
      <w:r w:rsidRPr="00267408">
        <w:rPr>
          <w:rFonts w:ascii="Times New Roman" w:hAnsi="Times New Roman" w:cs="Times New Roman"/>
          <w:sz w:val="20"/>
          <w:szCs w:val="20"/>
          <w:vertAlign w:val="superscript"/>
        </w:rPr>
        <w:t>14</w:t>
      </w:r>
      <w:r>
        <w:rPr>
          <w:rFonts w:ascii="Times New Roman" w:hAnsi="Times New Roman" w:cs="Times New Roman"/>
          <w:sz w:val="20"/>
          <w:szCs w:val="20"/>
        </w:rPr>
        <w:t xml:space="preserve"> K. Winter,</w:t>
      </w:r>
      <w:r w:rsidRPr="00267408">
        <w:rPr>
          <w:rFonts w:ascii="Times New Roman" w:hAnsi="Times New Roman" w:cs="Times New Roman"/>
          <w:sz w:val="20"/>
          <w:szCs w:val="20"/>
          <w:vertAlign w:val="superscript"/>
        </w:rPr>
        <w:t>15</w:t>
      </w:r>
      <w:r>
        <w:rPr>
          <w:rFonts w:ascii="Times New Roman" w:hAnsi="Times New Roman" w:cs="Times New Roman"/>
          <w:sz w:val="20"/>
          <w:szCs w:val="20"/>
        </w:rPr>
        <w:t xml:space="preserve"> H.M. Sandler,</w:t>
      </w:r>
      <w:r w:rsidRPr="00267408">
        <w:rPr>
          <w:rFonts w:ascii="Times New Roman" w:hAnsi="Times New Roman" w:cs="Times New Roman"/>
          <w:sz w:val="20"/>
          <w:szCs w:val="20"/>
          <w:vertAlign w:val="superscript"/>
        </w:rPr>
        <w:t>16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67408">
        <w:rPr>
          <w:rFonts w:ascii="Times New Roman" w:hAnsi="Times New Roman" w:cs="Times New Roman"/>
          <w:sz w:val="20"/>
          <w:szCs w:val="20"/>
        </w:rPr>
        <w:t xml:space="preserve">and </w:t>
      </w:r>
      <w:proofErr w:type="gramStart"/>
      <w:r w:rsidRPr="00267408">
        <w:rPr>
          <w:rFonts w:ascii="Times New Roman" w:hAnsi="Times New Roman" w:cs="Times New Roman"/>
          <w:sz w:val="20"/>
          <w:szCs w:val="20"/>
        </w:rPr>
        <w:t>M.A.</w:t>
      </w:r>
      <w:proofErr w:type="gramEnd"/>
      <w:r w:rsidRPr="00267408">
        <w:rPr>
          <w:rFonts w:ascii="Times New Roman" w:hAnsi="Times New Roman" w:cs="Times New Roman"/>
          <w:sz w:val="20"/>
          <w:szCs w:val="20"/>
        </w:rPr>
        <w:t xml:space="preserve"> Papagikos</w:t>
      </w:r>
      <w:r w:rsidRPr="00267408">
        <w:rPr>
          <w:rFonts w:ascii="Times New Roman" w:hAnsi="Times New Roman" w:cs="Times New Roman"/>
          <w:sz w:val="20"/>
          <w:szCs w:val="20"/>
          <w:vertAlign w:val="superscript"/>
        </w:rPr>
        <w:t>17</w:t>
      </w:r>
      <w:r w:rsidRPr="00267408">
        <w:rPr>
          <w:rFonts w:ascii="Times New Roman" w:hAnsi="Times New Roman" w:cs="Times New Roman"/>
          <w:sz w:val="20"/>
          <w:szCs w:val="20"/>
        </w:rPr>
        <w:t>;</w:t>
      </w:r>
    </w:p>
    <w:p w:rsidR="00195D5C" w:rsidRDefault="00195D5C" w:rsidP="00195D5C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267408" w:rsidRPr="00267408" w:rsidRDefault="00267408" w:rsidP="00267408">
      <w:pPr>
        <w:spacing w:line="360" w:lineRule="auto"/>
        <w:rPr>
          <w:rFonts w:ascii="Times New Roman" w:hAnsi="Times New Roman" w:cs="Times New Roman"/>
          <w:i/>
          <w:sz w:val="20"/>
          <w:szCs w:val="20"/>
        </w:rPr>
      </w:pPr>
      <w:r w:rsidRPr="0026740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Pr="00267408">
        <w:rPr>
          <w:rFonts w:ascii="Times New Roman" w:hAnsi="Times New Roman" w:cs="Times New Roman"/>
          <w:i/>
          <w:sz w:val="20"/>
          <w:szCs w:val="20"/>
        </w:rPr>
        <w:t xml:space="preserve">NRG, Philadelphia, PA, </w:t>
      </w:r>
      <w:r w:rsidRPr="00267408">
        <w:rPr>
          <w:rFonts w:ascii="Times New Roman" w:hAnsi="Times New Roman" w:cs="Times New Roman"/>
          <w:i/>
          <w:sz w:val="20"/>
          <w:szCs w:val="20"/>
          <w:vertAlign w:val="superscript"/>
        </w:rPr>
        <w:t>2</w:t>
      </w:r>
      <w:r w:rsidRPr="00267408">
        <w:rPr>
          <w:rFonts w:ascii="Times New Roman" w:hAnsi="Times New Roman" w:cs="Times New Roman"/>
          <w:i/>
          <w:sz w:val="20"/>
          <w:szCs w:val="20"/>
        </w:rPr>
        <w:t xml:space="preserve">Bons </w:t>
      </w:r>
      <w:proofErr w:type="spellStart"/>
      <w:r w:rsidRPr="00267408">
        <w:rPr>
          <w:rFonts w:ascii="Times New Roman" w:hAnsi="Times New Roman" w:cs="Times New Roman"/>
          <w:i/>
          <w:sz w:val="20"/>
          <w:szCs w:val="20"/>
        </w:rPr>
        <w:t>Secours</w:t>
      </w:r>
      <w:proofErr w:type="spellEnd"/>
      <w:r w:rsidRPr="0026740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67408">
        <w:rPr>
          <w:rFonts w:ascii="Times New Roman" w:hAnsi="Times New Roman" w:cs="Times New Roman"/>
          <w:i/>
          <w:sz w:val="20"/>
          <w:szCs w:val="20"/>
        </w:rPr>
        <w:t>Cancer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67408">
        <w:rPr>
          <w:rFonts w:ascii="Times New Roman" w:hAnsi="Times New Roman" w:cs="Times New Roman"/>
          <w:i/>
          <w:sz w:val="20"/>
          <w:szCs w:val="20"/>
        </w:rPr>
        <w:t xml:space="preserve">Institute, </w:t>
      </w:r>
      <w:proofErr w:type="spellStart"/>
      <w:r w:rsidRPr="00267408">
        <w:rPr>
          <w:rFonts w:ascii="Times New Roman" w:hAnsi="Times New Roman" w:cs="Times New Roman"/>
          <w:i/>
          <w:sz w:val="20"/>
          <w:szCs w:val="20"/>
        </w:rPr>
        <w:t>Greenville</w:t>
      </w:r>
      <w:proofErr w:type="spellEnd"/>
      <w:r w:rsidRPr="00267408">
        <w:rPr>
          <w:rFonts w:ascii="Times New Roman" w:hAnsi="Times New Roman" w:cs="Times New Roman"/>
          <w:i/>
          <w:sz w:val="20"/>
          <w:szCs w:val="20"/>
        </w:rPr>
        <w:t xml:space="preserve">, SC, </w:t>
      </w:r>
      <w:r w:rsidRPr="00267408">
        <w:rPr>
          <w:rFonts w:ascii="Times New Roman" w:hAnsi="Times New Roman" w:cs="Times New Roman"/>
          <w:i/>
          <w:sz w:val="20"/>
          <w:szCs w:val="20"/>
          <w:vertAlign w:val="superscript"/>
        </w:rPr>
        <w:t>3</w:t>
      </w:r>
      <w:r w:rsidRPr="00267408">
        <w:rPr>
          <w:rFonts w:ascii="Times New Roman" w:hAnsi="Times New Roman" w:cs="Times New Roman"/>
          <w:i/>
          <w:sz w:val="20"/>
          <w:szCs w:val="20"/>
        </w:rPr>
        <w:t xml:space="preserve">Emory University </w:t>
      </w:r>
      <w:proofErr w:type="spellStart"/>
      <w:r w:rsidRPr="00267408">
        <w:rPr>
          <w:rFonts w:ascii="Times New Roman" w:hAnsi="Times New Roman" w:cs="Times New Roman"/>
          <w:i/>
          <w:sz w:val="20"/>
          <w:szCs w:val="20"/>
        </w:rPr>
        <w:t>Winship</w:t>
      </w:r>
      <w:proofErr w:type="spellEnd"/>
      <w:r w:rsidRPr="0026740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67408">
        <w:rPr>
          <w:rFonts w:ascii="Times New Roman" w:hAnsi="Times New Roman" w:cs="Times New Roman"/>
          <w:i/>
          <w:sz w:val="20"/>
          <w:szCs w:val="20"/>
        </w:rPr>
        <w:t>Cancer</w:t>
      </w:r>
      <w:proofErr w:type="spellEnd"/>
      <w:r w:rsidRPr="00267408">
        <w:rPr>
          <w:rFonts w:ascii="Times New Roman" w:hAnsi="Times New Roman" w:cs="Times New Roman"/>
          <w:i/>
          <w:sz w:val="20"/>
          <w:szCs w:val="20"/>
        </w:rPr>
        <w:t xml:space="preserve"> Institute,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67408">
        <w:rPr>
          <w:rFonts w:ascii="Times New Roman" w:hAnsi="Times New Roman" w:cs="Times New Roman"/>
          <w:i/>
          <w:sz w:val="20"/>
          <w:szCs w:val="20"/>
        </w:rPr>
        <w:t xml:space="preserve">Atlanta, GA, </w:t>
      </w:r>
      <w:r w:rsidRPr="00267408">
        <w:rPr>
          <w:rFonts w:ascii="Times New Roman" w:hAnsi="Times New Roman" w:cs="Times New Roman"/>
          <w:i/>
          <w:sz w:val="20"/>
          <w:szCs w:val="20"/>
          <w:vertAlign w:val="superscript"/>
        </w:rPr>
        <w:t>4</w:t>
      </w:r>
      <w:r w:rsidRPr="00267408">
        <w:rPr>
          <w:rFonts w:ascii="Times New Roman" w:hAnsi="Times New Roman" w:cs="Times New Roman"/>
          <w:i/>
          <w:sz w:val="20"/>
          <w:szCs w:val="20"/>
        </w:rPr>
        <w:t xml:space="preserve">John </w:t>
      </w:r>
      <w:proofErr w:type="spellStart"/>
      <w:r w:rsidRPr="00267408">
        <w:rPr>
          <w:rFonts w:ascii="Times New Roman" w:hAnsi="Times New Roman" w:cs="Times New Roman"/>
          <w:i/>
          <w:sz w:val="20"/>
          <w:szCs w:val="20"/>
        </w:rPr>
        <w:t>Muir</w:t>
      </w:r>
      <w:proofErr w:type="spellEnd"/>
      <w:r w:rsidRPr="0026740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67408">
        <w:rPr>
          <w:rFonts w:ascii="Times New Roman" w:hAnsi="Times New Roman" w:cs="Times New Roman"/>
          <w:i/>
          <w:sz w:val="20"/>
          <w:szCs w:val="20"/>
        </w:rPr>
        <w:t>Health</w:t>
      </w:r>
      <w:proofErr w:type="spellEnd"/>
      <w:r w:rsidRPr="00267408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267408">
        <w:rPr>
          <w:rFonts w:ascii="Times New Roman" w:hAnsi="Times New Roman" w:cs="Times New Roman"/>
          <w:i/>
          <w:sz w:val="20"/>
          <w:szCs w:val="20"/>
        </w:rPr>
        <w:t>Macon</w:t>
      </w:r>
      <w:proofErr w:type="spellEnd"/>
      <w:r w:rsidRPr="00267408">
        <w:rPr>
          <w:rFonts w:ascii="Times New Roman" w:hAnsi="Times New Roman" w:cs="Times New Roman"/>
          <w:i/>
          <w:sz w:val="20"/>
          <w:szCs w:val="20"/>
        </w:rPr>
        <w:t xml:space="preserve">, GA, </w:t>
      </w:r>
      <w:r w:rsidRPr="00267408">
        <w:rPr>
          <w:rFonts w:ascii="Times New Roman" w:hAnsi="Times New Roman" w:cs="Times New Roman"/>
          <w:i/>
          <w:sz w:val="20"/>
          <w:szCs w:val="20"/>
          <w:vertAlign w:val="superscript"/>
        </w:rPr>
        <w:t>5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67408">
        <w:rPr>
          <w:rFonts w:ascii="Times New Roman" w:hAnsi="Times New Roman" w:cs="Times New Roman"/>
          <w:i/>
          <w:sz w:val="20"/>
          <w:szCs w:val="20"/>
        </w:rPr>
        <w:t>Washington University</w:t>
      </w:r>
    </w:p>
    <w:p w:rsidR="00195D5C" w:rsidRDefault="00267408" w:rsidP="00267408">
      <w:pPr>
        <w:spacing w:line="360" w:lineRule="auto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267408">
        <w:rPr>
          <w:rFonts w:ascii="Times New Roman" w:hAnsi="Times New Roman" w:cs="Times New Roman"/>
          <w:i/>
          <w:sz w:val="20"/>
          <w:szCs w:val="20"/>
        </w:rPr>
        <w:t>School</w:t>
      </w:r>
      <w:proofErr w:type="spellEnd"/>
      <w:r w:rsidRPr="0026740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67408">
        <w:rPr>
          <w:rFonts w:ascii="Times New Roman" w:hAnsi="Times New Roman" w:cs="Times New Roman"/>
          <w:i/>
          <w:sz w:val="20"/>
          <w:szCs w:val="20"/>
        </w:rPr>
        <w:t>of</w:t>
      </w:r>
      <w:proofErr w:type="spellEnd"/>
      <w:r w:rsidRPr="0026740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67408">
        <w:rPr>
          <w:rFonts w:ascii="Times New Roman" w:hAnsi="Times New Roman" w:cs="Times New Roman"/>
          <w:i/>
          <w:sz w:val="20"/>
          <w:szCs w:val="20"/>
        </w:rPr>
        <w:t>Medicine</w:t>
      </w:r>
      <w:proofErr w:type="spellEnd"/>
      <w:r w:rsidRPr="00267408">
        <w:rPr>
          <w:rFonts w:ascii="Times New Roman" w:hAnsi="Times New Roman" w:cs="Times New Roman"/>
          <w:i/>
          <w:sz w:val="20"/>
          <w:szCs w:val="20"/>
        </w:rPr>
        <w:t xml:space="preserve">, St. Louis, MO, </w:t>
      </w:r>
      <w:r w:rsidRPr="00267408">
        <w:rPr>
          <w:rFonts w:ascii="Times New Roman" w:hAnsi="Times New Roman" w:cs="Times New Roman"/>
          <w:i/>
          <w:sz w:val="20"/>
          <w:szCs w:val="20"/>
          <w:vertAlign w:val="superscript"/>
        </w:rPr>
        <w:t>6</w:t>
      </w:r>
      <w:r w:rsidRPr="00267408">
        <w:rPr>
          <w:rFonts w:ascii="Times New Roman" w:hAnsi="Times New Roman" w:cs="Times New Roman"/>
          <w:i/>
          <w:sz w:val="20"/>
          <w:szCs w:val="20"/>
        </w:rPr>
        <w:t xml:space="preserve">The University </w:t>
      </w:r>
      <w:proofErr w:type="spellStart"/>
      <w:r w:rsidRPr="00267408">
        <w:rPr>
          <w:rFonts w:ascii="Times New Roman" w:hAnsi="Times New Roman" w:cs="Times New Roman"/>
          <w:i/>
          <w:sz w:val="20"/>
          <w:szCs w:val="20"/>
        </w:rPr>
        <w:t>of</w:t>
      </w:r>
      <w:proofErr w:type="spellEnd"/>
      <w:r w:rsidRPr="00267408">
        <w:rPr>
          <w:rFonts w:ascii="Times New Roman" w:hAnsi="Times New Roman" w:cs="Times New Roman"/>
          <w:i/>
          <w:sz w:val="20"/>
          <w:szCs w:val="20"/>
        </w:rPr>
        <w:t xml:space="preserve"> Texas MD Anderson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67408">
        <w:rPr>
          <w:rFonts w:ascii="Times New Roman" w:hAnsi="Times New Roman" w:cs="Times New Roman"/>
          <w:i/>
          <w:sz w:val="20"/>
          <w:szCs w:val="20"/>
        </w:rPr>
        <w:t>Cancer</w:t>
      </w:r>
      <w:proofErr w:type="spellEnd"/>
      <w:r w:rsidRPr="00267408">
        <w:rPr>
          <w:rFonts w:ascii="Times New Roman" w:hAnsi="Times New Roman" w:cs="Times New Roman"/>
          <w:i/>
          <w:sz w:val="20"/>
          <w:szCs w:val="20"/>
        </w:rPr>
        <w:t xml:space="preserve"> Center, Houston, TX, </w:t>
      </w:r>
      <w:r w:rsidRPr="00267408">
        <w:rPr>
          <w:rFonts w:ascii="Times New Roman" w:hAnsi="Times New Roman" w:cs="Times New Roman"/>
          <w:i/>
          <w:sz w:val="20"/>
          <w:szCs w:val="20"/>
          <w:vertAlign w:val="superscript"/>
        </w:rPr>
        <w:t>7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67408">
        <w:rPr>
          <w:rFonts w:ascii="Times New Roman" w:hAnsi="Times New Roman" w:cs="Times New Roman"/>
          <w:i/>
          <w:sz w:val="20"/>
          <w:szCs w:val="20"/>
        </w:rPr>
        <w:t xml:space="preserve">University </w:t>
      </w:r>
      <w:proofErr w:type="spellStart"/>
      <w:r w:rsidRPr="00267408">
        <w:rPr>
          <w:rFonts w:ascii="Times New Roman" w:hAnsi="Times New Roman" w:cs="Times New Roman"/>
          <w:i/>
          <w:sz w:val="20"/>
          <w:szCs w:val="20"/>
        </w:rPr>
        <w:t>of</w:t>
      </w:r>
      <w:proofErr w:type="spellEnd"/>
      <w:r w:rsidRPr="00267408">
        <w:rPr>
          <w:rFonts w:ascii="Times New Roman" w:hAnsi="Times New Roman" w:cs="Times New Roman"/>
          <w:i/>
          <w:sz w:val="20"/>
          <w:szCs w:val="20"/>
        </w:rPr>
        <w:t xml:space="preserve"> Tennessee </w:t>
      </w:r>
      <w:proofErr w:type="spellStart"/>
      <w:r w:rsidRPr="00267408">
        <w:rPr>
          <w:rFonts w:ascii="Times New Roman" w:hAnsi="Times New Roman" w:cs="Times New Roman"/>
          <w:i/>
          <w:sz w:val="20"/>
          <w:szCs w:val="20"/>
        </w:rPr>
        <w:t>Health</w:t>
      </w:r>
      <w:proofErr w:type="spellEnd"/>
      <w:r w:rsidRPr="00267408">
        <w:rPr>
          <w:rFonts w:ascii="Times New Roman" w:hAnsi="Times New Roman" w:cs="Times New Roman"/>
          <w:i/>
          <w:sz w:val="20"/>
          <w:szCs w:val="20"/>
        </w:rPr>
        <w:t xml:space="preserve"> Science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67408">
        <w:rPr>
          <w:rFonts w:ascii="Times New Roman" w:hAnsi="Times New Roman" w:cs="Times New Roman"/>
          <w:i/>
          <w:sz w:val="20"/>
          <w:szCs w:val="20"/>
        </w:rPr>
        <w:t xml:space="preserve">Center, Memphis, TN, </w:t>
      </w:r>
      <w:r w:rsidRPr="00267408">
        <w:rPr>
          <w:rFonts w:ascii="Times New Roman" w:hAnsi="Times New Roman" w:cs="Times New Roman"/>
          <w:i/>
          <w:sz w:val="20"/>
          <w:szCs w:val="20"/>
          <w:vertAlign w:val="superscript"/>
        </w:rPr>
        <w:t>8</w:t>
      </w:r>
      <w:r w:rsidRPr="00267408">
        <w:rPr>
          <w:rFonts w:ascii="Times New Roman" w:hAnsi="Times New Roman" w:cs="Times New Roman"/>
          <w:i/>
          <w:sz w:val="20"/>
          <w:szCs w:val="20"/>
        </w:rPr>
        <w:t xml:space="preserve">Radiation </w:t>
      </w:r>
      <w:proofErr w:type="spellStart"/>
      <w:r w:rsidRPr="00267408">
        <w:rPr>
          <w:rFonts w:ascii="Times New Roman" w:hAnsi="Times New Roman" w:cs="Times New Roman"/>
          <w:i/>
          <w:sz w:val="20"/>
          <w:szCs w:val="20"/>
        </w:rPr>
        <w:t>Medicine</w:t>
      </w:r>
      <w:proofErr w:type="spellEnd"/>
      <w:r w:rsidRPr="00267408">
        <w:rPr>
          <w:rFonts w:ascii="Times New Roman" w:hAnsi="Times New Roman" w:cs="Times New Roman"/>
          <w:i/>
          <w:sz w:val="20"/>
          <w:szCs w:val="20"/>
        </w:rPr>
        <w:t xml:space="preserve"> Program, </w:t>
      </w:r>
      <w:proofErr w:type="spellStart"/>
      <w:r w:rsidRPr="00267408">
        <w:rPr>
          <w:rFonts w:ascii="Times New Roman" w:hAnsi="Times New Roman" w:cs="Times New Roman"/>
          <w:i/>
          <w:sz w:val="20"/>
          <w:szCs w:val="20"/>
        </w:rPr>
        <w:t>Princess</w:t>
      </w:r>
      <w:proofErr w:type="spellEnd"/>
      <w:r w:rsidRPr="00267408">
        <w:rPr>
          <w:rFonts w:ascii="Times New Roman" w:hAnsi="Times New Roman" w:cs="Times New Roman"/>
          <w:i/>
          <w:sz w:val="20"/>
          <w:szCs w:val="20"/>
        </w:rPr>
        <w:t xml:space="preserve"> Margaret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67408">
        <w:rPr>
          <w:rFonts w:ascii="Times New Roman" w:hAnsi="Times New Roman" w:cs="Times New Roman"/>
          <w:i/>
          <w:sz w:val="20"/>
          <w:szCs w:val="20"/>
        </w:rPr>
        <w:t>Cancer</w:t>
      </w:r>
      <w:proofErr w:type="spellEnd"/>
      <w:r w:rsidRPr="00267408">
        <w:rPr>
          <w:rFonts w:ascii="Times New Roman" w:hAnsi="Times New Roman" w:cs="Times New Roman"/>
          <w:i/>
          <w:sz w:val="20"/>
          <w:szCs w:val="20"/>
        </w:rPr>
        <w:t xml:space="preserve"> Centre, University </w:t>
      </w:r>
      <w:proofErr w:type="spellStart"/>
      <w:r w:rsidRPr="00267408">
        <w:rPr>
          <w:rFonts w:ascii="Times New Roman" w:hAnsi="Times New Roman" w:cs="Times New Roman"/>
          <w:i/>
          <w:sz w:val="20"/>
          <w:szCs w:val="20"/>
        </w:rPr>
        <w:t>Health</w:t>
      </w:r>
      <w:proofErr w:type="spellEnd"/>
      <w:r w:rsidRPr="00267408">
        <w:rPr>
          <w:rFonts w:ascii="Times New Roman" w:hAnsi="Times New Roman" w:cs="Times New Roman"/>
          <w:i/>
          <w:sz w:val="20"/>
          <w:szCs w:val="20"/>
        </w:rPr>
        <w:t xml:space="preserve"> Network, Toronto, ON, </w:t>
      </w:r>
      <w:proofErr w:type="spellStart"/>
      <w:r w:rsidRPr="00267408">
        <w:rPr>
          <w:rFonts w:ascii="Times New Roman" w:hAnsi="Times New Roman" w:cs="Times New Roman"/>
          <w:i/>
          <w:sz w:val="20"/>
          <w:szCs w:val="20"/>
        </w:rPr>
        <w:t>Canada</w:t>
      </w:r>
      <w:proofErr w:type="spellEnd"/>
      <w:r w:rsidRPr="00267408">
        <w:rPr>
          <w:rFonts w:ascii="Times New Roman" w:hAnsi="Times New Roman" w:cs="Times New Roman"/>
          <w:i/>
          <w:sz w:val="20"/>
          <w:szCs w:val="20"/>
        </w:rPr>
        <w:t>,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67408">
        <w:rPr>
          <w:rFonts w:ascii="Times New Roman" w:hAnsi="Times New Roman" w:cs="Times New Roman"/>
          <w:i/>
          <w:sz w:val="20"/>
          <w:szCs w:val="20"/>
          <w:vertAlign w:val="superscript"/>
        </w:rPr>
        <w:t>9</w:t>
      </w:r>
      <w:r w:rsidRPr="00267408">
        <w:rPr>
          <w:rFonts w:ascii="Times New Roman" w:hAnsi="Times New Roman" w:cs="Times New Roman"/>
          <w:i/>
          <w:sz w:val="20"/>
          <w:szCs w:val="20"/>
        </w:rPr>
        <w:t xml:space="preserve">Christiana Care </w:t>
      </w:r>
      <w:proofErr w:type="spellStart"/>
      <w:r w:rsidRPr="00267408">
        <w:rPr>
          <w:rFonts w:ascii="Times New Roman" w:hAnsi="Times New Roman" w:cs="Times New Roman"/>
          <w:i/>
          <w:sz w:val="20"/>
          <w:szCs w:val="20"/>
        </w:rPr>
        <w:t>Health</w:t>
      </w:r>
      <w:proofErr w:type="spellEnd"/>
      <w:r w:rsidRPr="0026740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67408">
        <w:rPr>
          <w:rFonts w:ascii="Times New Roman" w:hAnsi="Times New Roman" w:cs="Times New Roman"/>
          <w:i/>
          <w:sz w:val="20"/>
          <w:szCs w:val="20"/>
        </w:rPr>
        <w:t>Services</w:t>
      </w:r>
      <w:proofErr w:type="spellEnd"/>
      <w:r w:rsidRPr="00267408">
        <w:rPr>
          <w:rFonts w:ascii="Times New Roman" w:hAnsi="Times New Roman" w:cs="Times New Roman"/>
          <w:i/>
          <w:sz w:val="20"/>
          <w:szCs w:val="20"/>
        </w:rPr>
        <w:t xml:space="preserve">, Inc. CCOP, Newark, DE, </w:t>
      </w:r>
      <w:r w:rsidRPr="00267408">
        <w:rPr>
          <w:rFonts w:ascii="Times New Roman" w:hAnsi="Times New Roman" w:cs="Times New Roman"/>
          <w:i/>
          <w:sz w:val="20"/>
          <w:szCs w:val="20"/>
          <w:vertAlign w:val="superscript"/>
        </w:rPr>
        <w:t>10</w:t>
      </w:r>
      <w:r w:rsidRPr="00267408">
        <w:rPr>
          <w:rFonts w:ascii="Times New Roman" w:hAnsi="Times New Roman" w:cs="Times New Roman"/>
          <w:i/>
          <w:sz w:val="20"/>
          <w:szCs w:val="20"/>
        </w:rPr>
        <w:t>Department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67408">
        <w:rPr>
          <w:rFonts w:ascii="Times New Roman" w:hAnsi="Times New Roman" w:cs="Times New Roman"/>
          <w:i/>
          <w:sz w:val="20"/>
          <w:szCs w:val="20"/>
        </w:rPr>
        <w:t>of</w:t>
      </w:r>
      <w:proofErr w:type="spellEnd"/>
      <w:r w:rsidRPr="0026740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67408">
        <w:rPr>
          <w:rFonts w:ascii="Times New Roman" w:hAnsi="Times New Roman" w:cs="Times New Roman"/>
          <w:i/>
          <w:sz w:val="20"/>
          <w:szCs w:val="20"/>
        </w:rPr>
        <w:t>Radiation</w:t>
      </w:r>
      <w:proofErr w:type="spellEnd"/>
      <w:r w:rsidRPr="0026740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67408">
        <w:rPr>
          <w:rFonts w:ascii="Times New Roman" w:hAnsi="Times New Roman" w:cs="Times New Roman"/>
          <w:i/>
          <w:sz w:val="20"/>
          <w:szCs w:val="20"/>
        </w:rPr>
        <w:t>Oncology</w:t>
      </w:r>
      <w:proofErr w:type="spellEnd"/>
      <w:r w:rsidRPr="00267408">
        <w:rPr>
          <w:rFonts w:ascii="Times New Roman" w:hAnsi="Times New Roman" w:cs="Times New Roman"/>
          <w:i/>
          <w:sz w:val="20"/>
          <w:szCs w:val="20"/>
        </w:rPr>
        <w:t xml:space="preserve">, Washington University </w:t>
      </w:r>
      <w:proofErr w:type="spellStart"/>
      <w:r w:rsidRPr="00267408">
        <w:rPr>
          <w:rFonts w:ascii="Times New Roman" w:hAnsi="Times New Roman" w:cs="Times New Roman"/>
          <w:i/>
          <w:sz w:val="20"/>
          <w:szCs w:val="20"/>
        </w:rPr>
        <w:t>School</w:t>
      </w:r>
      <w:proofErr w:type="spellEnd"/>
      <w:r w:rsidRPr="0026740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67408">
        <w:rPr>
          <w:rFonts w:ascii="Times New Roman" w:hAnsi="Times New Roman" w:cs="Times New Roman"/>
          <w:i/>
          <w:sz w:val="20"/>
          <w:szCs w:val="20"/>
        </w:rPr>
        <w:t>of</w:t>
      </w:r>
      <w:proofErr w:type="spellEnd"/>
      <w:r w:rsidRPr="0026740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67408">
        <w:rPr>
          <w:rFonts w:ascii="Times New Roman" w:hAnsi="Times New Roman" w:cs="Times New Roman"/>
          <w:i/>
          <w:sz w:val="20"/>
          <w:szCs w:val="20"/>
        </w:rPr>
        <w:t>Medicine</w:t>
      </w:r>
      <w:proofErr w:type="spellEnd"/>
      <w:r w:rsidRPr="00267408">
        <w:rPr>
          <w:rFonts w:ascii="Times New Roman" w:hAnsi="Times New Roman" w:cs="Times New Roman"/>
          <w:i/>
          <w:sz w:val="20"/>
          <w:szCs w:val="20"/>
        </w:rPr>
        <w:t>, St.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67408">
        <w:rPr>
          <w:rFonts w:ascii="Times New Roman" w:hAnsi="Times New Roman" w:cs="Times New Roman"/>
          <w:i/>
          <w:sz w:val="20"/>
          <w:szCs w:val="20"/>
        </w:rPr>
        <w:t xml:space="preserve">Louis, MO, </w:t>
      </w:r>
      <w:r w:rsidRPr="00267408">
        <w:rPr>
          <w:rFonts w:ascii="Times New Roman" w:hAnsi="Times New Roman" w:cs="Times New Roman"/>
          <w:i/>
          <w:sz w:val="20"/>
          <w:szCs w:val="20"/>
          <w:vertAlign w:val="superscript"/>
        </w:rPr>
        <w:t>11</w:t>
      </w:r>
      <w:r w:rsidRPr="00267408">
        <w:rPr>
          <w:rFonts w:ascii="Times New Roman" w:hAnsi="Times New Roman" w:cs="Times New Roman"/>
          <w:i/>
          <w:sz w:val="20"/>
          <w:szCs w:val="20"/>
        </w:rPr>
        <w:t xml:space="preserve">Arizona </w:t>
      </w:r>
      <w:proofErr w:type="spellStart"/>
      <w:r w:rsidRPr="00267408">
        <w:rPr>
          <w:rFonts w:ascii="Times New Roman" w:hAnsi="Times New Roman" w:cs="Times New Roman"/>
          <w:i/>
          <w:sz w:val="20"/>
          <w:szCs w:val="20"/>
        </w:rPr>
        <w:t>Oncology</w:t>
      </w:r>
      <w:proofErr w:type="spellEnd"/>
      <w:r w:rsidRPr="0026740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67408">
        <w:rPr>
          <w:rFonts w:ascii="Times New Roman" w:hAnsi="Times New Roman" w:cs="Times New Roman"/>
          <w:i/>
          <w:sz w:val="20"/>
          <w:szCs w:val="20"/>
        </w:rPr>
        <w:t>Services</w:t>
      </w:r>
      <w:proofErr w:type="spellEnd"/>
      <w:r w:rsidRPr="00267408">
        <w:rPr>
          <w:rFonts w:ascii="Times New Roman" w:hAnsi="Times New Roman" w:cs="Times New Roman"/>
          <w:i/>
          <w:sz w:val="20"/>
          <w:szCs w:val="20"/>
        </w:rPr>
        <w:t xml:space="preserve"> - </w:t>
      </w:r>
      <w:proofErr w:type="spellStart"/>
      <w:r w:rsidRPr="00267408">
        <w:rPr>
          <w:rFonts w:ascii="Times New Roman" w:hAnsi="Times New Roman" w:cs="Times New Roman"/>
          <w:i/>
          <w:sz w:val="20"/>
          <w:szCs w:val="20"/>
        </w:rPr>
        <w:t>Mesa</w:t>
      </w:r>
      <w:proofErr w:type="spellEnd"/>
      <w:r w:rsidRPr="00267408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267408">
        <w:rPr>
          <w:rFonts w:ascii="Times New Roman" w:hAnsi="Times New Roman" w:cs="Times New Roman"/>
          <w:i/>
          <w:sz w:val="20"/>
          <w:szCs w:val="20"/>
        </w:rPr>
        <w:t>Mesa</w:t>
      </w:r>
      <w:proofErr w:type="spellEnd"/>
      <w:r w:rsidRPr="00267408">
        <w:rPr>
          <w:rFonts w:ascii="Times New Roman" w:hAnsi="Times New Roman" w:cs="Times New Roman"/>
          <w:i/>
          <w:sz w:val="20"/>
          <w:szCs w:val="20"/>
        </w:rPr>
        <w:t xml:space="preserve">, AZ, </w:t>
      </w:r>
      <w:r w:rsidRPr="0026185F">
        <w:rPr>
          <w:rFonts w:ascii="Times New Roman" w:hAnsi="Times New Roman" w:cs="Times New Roman"/>
          <w:i/>
          <w:sz w:val="20"/>
          <w:szCs w:val="20"/>
          <w:vertAlign w:val="superscript"/>
        </w:rPr>
        <w:t>12</w:t>
      </w:r>
      <w:r w:rsidRPr="00267408">
        <w:rPr>
          <w:rFonts w:ascii="Times New Roman" w:hAnsi="Times New Roman" w:cs="Times New Roman"/>
          <w:i/>
          <w:sz w:val="20"/>
          <w:szCs w:val="20"/>
        </w:rPr>
        <w:t>Sutter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67408">
        <w:rPr>
          <w:rFonts w:ascii="Times New Roman" w:hAnsi="Times New Roman" w:cs="Times New Roman"/>
          <w:i/>
          <w:sz w:val="20"/>
          <w:szCs w:val="20"/>
        </w:rPr>
        <w:t>Cancer</w:t>
      </w:r>
      <w:proofErr w:type="spellEnd"/>
      <w:r w:rsidRPr="0026740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67408">
        <w:rPr>
          <w:rFonts w:ascii="Times New Roman" w:hAnsi="Times New Roman" w:cs="Times New Roman"/>
          <w:i/>
          <w:sz w:val="20"/>
          <w:szCs w:val="20"/>
        </w:rPr>
        <w:t>Research</w:t>
      </w:r>
      <w:proofErr w:type="spellEnd"/>
      <w:r w:rsidRPr="0026740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67408">
        <w:rPr>
          <w:rFonts w:ascii="Times New Roman" w:hAnsi="Times New Roman" w:cs="Times New Roman"/>
          <w:i/>
          <w:sz w:val="20"/>
          <w:szCs w:val="20"/>
        </w:rPr>
        <w:t>Consortium</w:t>
      </w:r>
      <w:proofErr w:type="spellEnd"/>
      <w:r w:rsidRPr="00267408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267408">
        <w:rPr>
          <w:rFonts w:ascii="Times New Roman" w:hAnsi="Times New Roman" w:cs="Times New Roman"/>
          <w:i/>
          <w:sz w:val="20"/>
          <w:szCs w:val="20"/>
        </w:rPr>
        <w:t>Sacramento</w:t>
      </w:r>
      <w:proofErr w:type="spellEnd"/>
      <w:r w:rsidRPr="00267408">
        <w:rPr>
          <w:rFonts w:ascii="Times New Roman" w:hAnsi="Times New Roman" w:cs="Times New Roman"/>
          <w:i/>
          <w:sz w:val="20"/>
          <w:szCs w:val="20"/>
        </w:rPr>
        <w:t xml:space="preserve">, CA, </w:t>
      </w:r>
      <w:r w:rsidRPr="0026185F">
        <w:rPr>
          <w:rFonts w:ascii="Times New Roman" w:hAnsi="Times New Roman" w:cs="Times New Roman"/>
          <w:i/>
          <w:sz w:val="20"/>
          <w:szCs w:val="20"/>
          <w:vertAlign w:val="superscript"/>
        </w:rPr>
        <w:t>13</w:t>
      </w:r>
      <w:r w:rsidRPr="00267408">
        <w:rPr>
          <w:rFonts w:ascii="Times New Roman" w:hAnsi="Times New Roman" w:cs="Times New Roman"/>
          <w:i/>
          <w:sz w:val="20"/>
          <w:szCs w:val="20"/>
        </w:rPr>
        <w:t>Dana-Farber/</w:t>
      </w:r>
      <w:proofErr w:type="spellStart"/>
      <w:r w:rsidRPr="00267408">
        <w:rPr>
          <w:rFonts w:ascii="Times New Roman" w:hAnsi="Times New Roman" w:cs="Times New Roman"/>
          <w:i/>
          <w:sz w:val="20"/>
          <w:szCs w:val="20"/>
        </w:rPr>
        <w:t>Cancer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67408">
        <w:rPr>
          <w:rFonts w:ascii="Times New Roman" w:hAnsi="Times New Roman" w:cs="Times New Roman"/>
          <w:i/>
          <w:sz w:val="20"/>
          <w:szCs w:val="20"/>
        </w:rPr>
        <w:t>Care LAPS (</w:t>
      </w:r>
      <w:proofErr w:type="spellStart"/>
      <w:r w:rsidRPr="00267408">
        <w:rPr>
          <w:rFonts w:ascii="Times New Roman" w:hAnsi="Times New Roman" w:cs="Times New Roman"/>
          <w:i/>
          <w:sz w:val="20"/>
          <w:szCs w:val="20"/>
        </w:rPr>
        <w:t>accrual</w:t>
      </w:r>
      <w:proofErr w:type="spellEnd"/>
      <w:r w:rsidRPr="0026740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67408">
        <w:rPr>
          <w:rFonts w:ascii="Times New Roman" w:hAnsi="Times New Roman" w:cs="Times New Roman"/>
          <w:i/>
          <w:sz w:val="20"/>
          <w:szCs w:val="20"/>
        </w:rPr>
        <w:t>under</w:t>
      </w:r>
      <w:proofErr w:type="spellEnd"/>
      <w:r w:rsidRPr="0026740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67408">
        <w:rPr>
          <w:rFonts w:ascii="Times New Roman" w:hAnsi="Times New Roman" w:cs="Times New Roman"/>
          <w:i/>
          <w:sz w:val="20"/>
          <w:szCs w:val="20"/>
        </w:rPr>
        <w:t>south</w:t>
      </w:r>
      <w:proofErr w:type="spellEnd"/>
      <w:r w:rsidRPr="0026740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67408">
        <w:rPr>
          <w:rFonts w:ascii="Times New Roman" w:hAnsi="Times New Roman" w:cs="Times New Roman"/>
          <w:i/>
          <w:sz w:val="20"/>
          <w:szCs w:val="20"/>
        </w:rPr>
        <w:t>Suburban</w:t>
      </w:r>
      <w:proofErr w:type="spellEnd"/>
      <w:r w:rsidRPr="0026740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67408">
        <w:rPr>
          <w:rFonts w:ascii="Times New Roman" w:hAnsi="Times New Roman" w:cs="Times New Roman"/>
          <w:i/>
          <w:sz w:val="20"/>
          <w:szCs w:val="20"/>
        </w:rPr>
        <w:t>Oncology</w:t>
      </w:r>
      <w:proofErr w:type="spellEnd"/>
      <w:r w:rsidRPr="00267408">
        <w:rPr>
          <w:rFonts w:ascii="Times New Roman" w:hAnsi="Times New Roman" w:cs="Times New Roman"/>
          <w:i/>
          <w:sz w:val="20"/>
          <w:szCs w:val="20"/>
        </w:rPr>
        <w:t xml:space="preserve"> Center), Boston, MA,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6185F">
        <w:rPr>
          <w:rFonts w:ascii="Times New Roman" w:hAnsi="Times New Roman" w:cs="Times New Roman"/>
          <w:i/>
          <w:sz w:val="20"/>
          <w:szCs w:val="20"/>
          <w:vertAlign w:val="superscript"/>
        </w:rPr>
        <w:t>14</w:t>
      </w:r>
      <w:r w:rsidRPr="00267408">
        <w:rPr>
          <w:rFonts w:ascii="Times New Roman" w:hAnsi="Times New Roman" w:cs="Times New Roman"/>
          <w:i/>
          <w:sz w:val="20"/>
          <w:szCs w:val="20"/>
        </w:rPr>
        <w:t xml:space="preserve">Banner MD Anderson </w:t>
      </w:r>
      <w:proofErr w:type="spellStart"/>
      <w:r w:rsidRPr="00267408">
        <w:rPr>
          <w:rFonts w:ascii="Times New Roman" w:hAnsi="Times New Roman" w:cs="Times New Roman"/>
          <w:i/>
          <w:sz w:val="20"/>
          <w:szCs w:val="20"/>
        </w:rPr>
        <w:t>Cancer</w:t>
      </w:r>
      <w:proofErr w:type="spellEnd"/>
      <w:r w:rsidRPr="00267408">
        <w:rPr>
          <w:rFonts w:ascii="Times New Roman" w:hAnsi="Times New Roman" w:cs="Times New Roman"/>
          <w:i/>
          <w:sz w:val="20"/>
          <w:szCs w:val="20"/>
        </w:rPr>
        <w:t xml:space="preserve"> Center, Gilbert, AZ, </w:t>
      </w:r>
      <w:r w:rsidRPr="0026185F">
        <w:rPr>
          <w:rFonts w:ascii="Times New Roman" w:hAnsi="Times New Roman" w:cs="Times New Roman"/>
          <w:i/>
          <w:sz w:val="20"/>
          <w:szCs w:val="20"/>
          <w:vertAlign w:val="superscript"/>
        </w:rPr>
        <w:t>15</w:t>
      </w:r>
      <w:r w:rsidRPr="00267408">
        <w:rPr>
          <w:rFonts w:ascii="Times New Roman" w:hAnsi="Times New Roman" w:cs="Times New Roman"/>
          <w:i/>
          <w:sz w:val="20"/>
          <w:szCs w:val="20"/>
        </w:rPr>
        <w:t xml:space="preserve">NRG </w:t>
      </w:r>
      <w:proofErr w:type="spellStart"/>
      <w:r w:rsidRPr="00267408">
        <w:rPr>
          <w:rFonts w:ascii="Times New Roman" w:hAnsi="Times New Roman" w:cs="Times New Roman"/>
          <w:i/>
          <w:sz w:val="20"/>
          <w:szCs w:val="20"/>
        </w:rPr>
        <w:t>Oncology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67408">
        <w:rPr>
          <w:rFonts w:ascii="Times New Roman" w:hAnsi="Times New Roman" w:cs="Times New Roman"/>
          <w:i/>
          <w:sz w:val="20"/>
          <w:szCs w:val="20"/>
        </w:rPr>
        <w:t>Statistics</w:t>
      </w:r>
      <w:proofErr w:type="spellEnd"/>
      <w:r w:rsidRPr="00267408">
        <w:rPr>
          <w:rFonts w:ascii="Times New Roman" w:hAnsi="Times New Roman" w:cs="Times New Roman"/>
          <w:i/>
          <w:sz w:val="20"/>
          <w:szCs w:val="20"/>
        </w:rPr>
        <w:t xml:space="preserve"> and Data Management Center-ACR, Philadelphia, PA, </w:t>
      </w:r>
      <w:r w:rsidRPr="0026185F">
        <w:rPr>
          <w:rFonts w:ascii="Times New Roman" w:hAnsi="Times New Roman" w:cs="Times New Roman"/>
          <w:i/>
          <w:sz w:val="20"/>
          <w:szCs w:val="20"/>
          <w:vertAlign w:val="superscript"/>
        </w:rPr>
        <w:t>16</w:t>
      </w:r>
      <w:r w:rsidRPr="00267408">
        <w:rPr>
          <w:rFonts w:ascii="Times New Roman" w:hAnsi="Times New Roman" w:cs="Times New Roman"/>
          <w:i/>
          <w:sz w:val="20"/>
          <w:szCs w:val="20"/>
        </w:rPr>
        <w:t>Cedars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67408">
        <w:rPr>
          <w:rFonts w:ascii="Times New Roman" w:hAnsi="Times New Roman" w:cs="Times New Roman"/>
          <w:i/>
          <w:sz w:val="20"/>
          <w:szCs w:val="20"/>
        </w:rPr>
        <w:t>Sinai</w:t>
      </w:r>
      <w:proofErr w:type="spellEnd"/>
      <w:r w:rsidRPr="0026740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67408">
        <w:rPr>
          <w:rFonts w:ascii="Times New Roman" w:hAnsi="Times New Roman" w:cs="Times New Roman"/>
          <w:i/>
          <w:sz w:val="20"/>
          <w:szCs w:val="20"/>
        </w:rPr>
        <w:t>Medical</w:t>
      </w:r>
      <w:proofErr w:type="spellEnd"/>
      <w:r w:rsidRPr="00267408">
        <w:rPr>
          <w:rFonts w:ascii="Times New Roman" w:hAnsi="Times New Roman" w:cs="Times New Roman"/>
          <w:i/>
          <w:sz w:val="20"/>
          <w:szCs w:val="20"/>
        </w:rPr>
        <w:t xml:space="preserve"> Center, Los Angeles, CA, </w:t>
      </w:r>
      <w:r w:rsidRPr="0026185F">
        <w:rPr>
          <w:rFonts w:ascii="Times New Roman" w:hAnsi="Times New Roman" w:cs="Times New Roman"/>
          <w:i/>
          <w:sz w:val="20"/>
          <w:szCs w:val="20"/>
          <w:vertAlign w:val="superscript"/>
        </w:rPr>
        <w:t>17</w:t>
      </w:r>
      <w:r w:rsidRPr="00267408">
        <w:rPr>
          <w:rFonts w:ascii="Times New Roman" w:hAnsi="Times New Roman" w:cs="Times New Roman"/>
          <w:i/>
          <w:sz w:val="20"/>
          <w:szCs w:val="20"/>
        </w:rPr>
        <w:t xml:space="preserve">Coastal Carolina </w:t>
      </w:r>
      <w:proofErr w:type="spellStart"/>
      <w:r w:rsidRPr="00267408">
        <w:rPr>
          <w:rFonts w:ascii="Times New Roman" w:hAnsi="Times New Roman" w:cs="Times New Roman"/>
          <w:i/>
          <w:sz w:val="20"/>
          <w:szCs w:val="20"/>
        </w:rPr>
        <w:t>Radiation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67408">
        <w:rPr>
          <w:rFonts w:ascii="Times New Roman" w:hAnsi="Times New Roman" w:cs="Times New Roman"/>
          <w:i/>
          <w:sz w:val="20"/>
          <w:szCs w:val="20"/>
        </w:rPr>
        <w:t>Oncology</w:t>
      </w:r>
      <w:proofErr w:type="spellEnd"/>
      <w:r w:rsidRPr="00267408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267408">
        <w:rPr>
          <w:rFonts w:ascii="Times New Roman" w:hAnsi="Times New Roman" w:cs="Times New Roman"/>
          <w:i/>
          <w:sz w:val="20"/>
          <w:szCs w:val="20"/>
        </w:rPr>
        <w:t>Wilmington</w:t>
      </w:r>
      <w:proofErr w:type="spellEnd"/>
      <w:r w:rsidRPr="00267408">
        <w:rPr>
          <w:rFonts w:ascii="Times New Roman" w:hAnsi="Times New Roman" w:cs="Times New Roman"/>
          <w:i/>
          <w:sz w:val="20"/>
          <w:szCs w:val="20"/>
        </w:rPr>
        <w:t>, NC</w:t>
      </w:r>
    </w:p>
    <w:p w:rsidR="00267408" w:rsidRPr="00267408" w:rsidRDefault="00267408" w:rsidP="00267408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195D5C" w:rsidRPr="00195D5C" w:rsidRDefault="00195D5C" w:rsidP="0026185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195D5C">
        <w:rPr>
          <w:rFonts w:ascii="Times New Roman" w:hAnsi="Times New Roman" w:cs="Times New Roman"/>
          <w:b/>
          <w:sz w:val="20"/>
          <w:szCs w:val="20"/>
        </w:rPr>
        <w:t>Purpose</w:t>
      </w:r>
      <w:proofErr w:type="spellEnd"/>
      <w:r w:rsidRPr="00195D5C">
        <w:rPr>
          <w:rFonts w:ascii="Times New Roman" w:hAnsi="Times New Roman" w:cs="Times New Roman"/>
          <w:b/>
          <w:sz w:val="20"/>
          <w:szCs w:val="20"/>
        </w:rPr>
        <w:t>/</w:t>
      </w:r>
      <w:proofErr w:type="spellStart"/>
      <w:r w:rsidRPr="00195D5C">
        <w:rPr>
          <w:rFonts w:ascii="Times New Roman" w:hAnsi="Times New Roman" w:cs="Times New Roman"/>
          <w:b/>
          <w:sz w:val="20"/>
          <w:szCs w:val="20"/>
        </w:rPr>
        <w:t>Objective</w:t>
      </w:r>
      <w:proofErr w:type="spellEnd"/>
      <w:r w:rsidRPr="00195D5C">
        <w:rPr>
          <w:rFonts w:ascii="Times New Roman" w:hAnsi="Times New Roman" w:cs="Times New Roman"/>
          <w:b/>
          <w:sz w:val="20"/>
          <w:szCs w:val="20"/>
        </w:rPr>
        <w:t>(s):</w:t>
      </w:r>
      <w:r w:rsidRPr="00195D5C">
        <w:rPr>
          <w:rFonts w:ascii="Times New Roman" w:hAnsi="Times New Roman" w:cs="Times New Roman"/>
          <w:sz w:val="20"/>
          <w:szCs w:val="20"/>
        </w:rPr>
        <w:t xml:space="preserve"> </w:t>
      </w:r>
      <w:r w:rsidR="0026185F" w:rsidRPr="0026185F">
        <w:rPr>
          <w:rFonts w:ascii="Times New Roman" w:hAnsi="Times New Roman" w:cs="Times New Roman"/>
          <w:sz w:val="20"/>
          <w:szCs w:val="20"/>
        </w:rPr>
        <w:t xml:space="preserve">To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assess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differences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patient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pt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>)-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reported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outcomes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PROs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between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combined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external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beam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therapy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(EBT) and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transperineal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interstitial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permanent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brachytherapy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(B)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among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pts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intermediate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risk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prostate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cancer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(PC).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primary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endpoint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reported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addition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EBT to B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did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not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result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in s</w:t>
      </w:r>
      <w:r w:rsidR="00CC5223">
        <w:rPr>
          <w:rFonts w:ascii="Times New Roman" w:hAnsi="Times New Roman" w:cs="Times New Roman"/>
          <w:sz w:val="20"/>
          <w:szCs w:val="20"/>
        </w:rPr>
        <w:t xml:space="preserve">uperior PFS </w:t>
      </w:r>
      <w:proofErr w:type="spellStart"/>
      <w:r w:rsidR="00CC5223">
        <w:rPr>
          <w:rFonts w:ascii="Times New Roman" w:hAnsi="Times New Roman" w:cs="Times New Roman"/>
          <w:sz w:val="20"/>
          <w:szCs w:val="20"/>
        </w:rPr>
        <w:t>compared</w:t>
      </w:r>
      <w:proofErr w:type="spellEnd"/>
      <w:r w:rsidR="00CC5223">
        <w:rPr>
          <w:rFonts w:ascii="Times New Roman" w:hAnsi="Times New Roman" w:cs="Times New Roman"/>
          <w:sz w:val="20"/>
          <w:szCs w:val="20"/>
        </w:rPr>
        <w:t xml:space="preserve"> to B </w:t>
      </w:r>
      <w:proofErr w:type="spellStart"/>
      <w:r w:rsidR="00CC5223">
        <w:rPr>
          <w:rFonts w:ascii="Times New Roman" w:hAnsi="Times New Roman" w:cs="Times New Roman"/>
          <w:sz w:val="20"/>
          <w:szCs w:val="20"/>
        </w:rPr>
        <w:t>alone</w:t>
      </w:r>
      <w:proofErr w:type="spellEnd"/>
      <w:r w:rsidR="00CC5223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CC5223">
        <w:rPr>
          <w:rFonts w:ascii="Times New Roman" w:hAnsi="Times New Roman" w:cs="Times New Roman"/>
          <w:sz w:val="20"/>
          <w:szCs w:val="20"/>
        </w:rPr>
        <w:t>see</w:t>
      </w:r>
      <w:proofErr w:type="spellEnd"/>
      <w:r w:rsidR="00CC5223">
        <w:rPr>
          <w:rFonts w:ascii="Times New Roman" w:hAnsi="Times New Roman" w:cs="Times New Roman"/>
          <w:sz w:val="20"/>
          <w:szCs w:val="20"/>
        </w:rPr>
        <w:t xml:space="preserve"> Table).</w:t>
      </w:r>
    </w:p>
    <w:p w:rsidR="00397807" w:rsidRDefault="00195D5C" w:rsidP="00195D5C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195D5C">
        <w:rPr>
          <w:rFonts w:ascii="Times New Roman" w:hAnsi="Times New Roman" w:cs="Times New Roman"/>
          <w:b/>
          <w:sz w:val="20"/>
          <w:szCs w:val="20"/>
        </w:rPr>
        <w:t>Materials</w:t>
      </w:r>
      <w:proofErr w:type="spellEnd"/>
      <w:r w:rsidRPr="00195D5C">
        <w:rPr>
          <w:rFonts w:ascii="Times New Roman" w:hAnsi="Times New Roman" w:cs="Times New Roman"/>
          <w:b/>
          <w:sz w:val="20"/>
          <w:szCs w:val="20"/>
        </w:rPr>
        <w:t>/</w:t>
      </w:r>
      <w:proofErr w:type="spellStart"/>
      <w:r w:rsidRPr="00195D5C">
        <w:rPr>
          <w:rFonts w:ascii="Times New Roman" w:hAnsi="Times New Roman" w:cs="Times New Roman"/>
          <w:b/>
          <w:sz w:val="20"/>
          <w:szCs w:val="20"/>
        </w:rPr>
        <w:t>Methods</w:t>
      </w:r>
      <w:proofErr w:type="spellEnd"/>
      <w:r w:rsidRPr="00195D5C">
        <w:rPr>
          <w:rFonts w:ascii="Times New Roman" w:hAnsi="Times New Roman" w:cs="Times New Roman"/>
          <w:b/>
          <w:sz w:val="20"/>
          <w:szCs w:val="20"/>
        </w:rPr>
        <w:t>:</w:t>
      </w:r>
      <w:r w:rsidRPr="00195D5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Men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intermediate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risk PC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randomized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to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either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45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Gy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partial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pelvis EBT+B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B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alone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Expanded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Prostate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Index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Composite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(EPIC)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used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to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measure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change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PROs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baseline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to 4 and </w:t>
      </w:r>
      <w:proofErr w:type="gramStart"/>
      <w:r w:rsidR="0026185F" w:rsidRPr="0026185F">
        <w:rPr>
          <w:rFonts w:ascii="Times New Roman" w:hAnsi="Times New Roman" w:cs="Times New Roman"/>
          <w:sz w:val="20"/>
          <w:szCs w:val="20"/>
        </w:rPr>
        <w:t>24-mos</w:t>
      </w:r>
      <w:proofErr w:type="gram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. EPIC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assesses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4 PC-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specific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PRO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domains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bowel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urinary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2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subscales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incontinence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irritative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obstructive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),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sexual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, and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hormonal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Hormonal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domain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excluded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as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concurrent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use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exclusionary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and prior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neoadjuvant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use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low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(8%).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Scoring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on a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Likert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scale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responses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transformed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to 0-100,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higher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scores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indicating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better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PC-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specific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PROs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. EPIC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change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(Δ)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domain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/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subscale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scores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calculated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as 4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24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mo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score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baseline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score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. To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assess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treatment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differences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effect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sizes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(ES) ≥ 0.5 standard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deviations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(SD)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considered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clinically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significant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and t-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tests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tested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treatment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differences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&gt; 0.</w:t>
      </w:r>
    </w:p>
    <w:p w:rsidR="00195D5C" w:rsidRPr="00195D5C" w:rsidRDefault="00195D5C" w:rsidP="0026185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397807">
        <w:rPr>
          <w:rFonts w:ascii="Times New Roman" w:hAnsi="Times New Roman" w:cs="Times New Roman"/>
          <w:b/>
          <w:sz w:val="20"/>
          <w:szCs w:val="20"/>
        </w:rPr>
        <w:t>Results</w:t>
      </w:r>
      <w:proofErr w:type="spellEnd"/>
      <w:r w:rsidRPr="00397807">
        <w:rPr>
          <w:rFonts w:ascii="Times New Roman" w:hAnsi="Times New Roman" w:cs="Times New Roman"/>
          <w:b/>
          <w:sz w:val="20"/>
          <w:szCs w:val="20"/>
        </w:rPr>
        <w:t>:</w:t>
      </w:r>
      <w:r w:rsidRPr="00195D5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There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530/579 (92%)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eligible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pts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on study had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baseline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EPIC: 255 (89%) on EBRT + B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arm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and 275 (94%) on B arm.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There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no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significant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sig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differences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baseline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characteristics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between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arms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median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age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66, 78%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White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and 17%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Black; 89% had GS 7/PSA &lt; 10, 66%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T1 and 96% had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Zubrod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Performance Status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0. Grade 3+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toxicities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acute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similar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(6%) but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late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13% and 8%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EBT+B and B,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respectively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There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are no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statistically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sig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differences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lastRenderedPageBreak/>
        <w:t>any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baseline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mean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scores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between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arms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. At 4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mos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mean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± SD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Δ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scores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urinary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urinary-irritative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, and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bowel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had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sig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differences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all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p &lt; 0.0001)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between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arms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all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favor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B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alone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(ES 0.40, 0.44, 0.31,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respectively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);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none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urinary-incontinence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sexual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. At 24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mos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sig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differences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between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arms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urinary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urinary-irritative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bowel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, &amp;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sexual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all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favor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B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alone</w:t>
      </w:r>
      <w:proofErr w:type="spellEnd"/>
      <w:r w:rsidR="0026185F">
        <w:rPr>
          <w:rFonts w:ascii="Times New Roman" w:hAnsi="Times New Roman" w:cs="Times New Roman"/>
          <w:sz w:val="20"/>
          <w:szCs w:val="20"/>
        </w:rPr>
        <w:t>.</w:t>
      </w:r>
    </w:p>
    <w:p w:rsidR="00F7475F" w:rsidRDefault="00195D5C" w:rsidP="0026185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195D5C">
        <w:rPr>
          <w:rFonts w:ascii="Times New Roman" w:hAnsi="Times New Roman" w:cs="Times New Roman"/>
          <w:b/>
          <w:sz w:val="20"/>
          <w:szCs w:val="20"/>
        </w:rPr>
        <w:t>Conclusion</w:t>
      </w:r>
      <w:proofErr w:type="spellEnd"/>
      <w:r w:rsidRPr="00195D5C">
        <w:rPr>
          <w:rFonts w:ascii="Times New Roman" w:hAnsi="Times New Roman" w:cs="Times New Roman"/>
          <w:b/>
          <w:sz w:val="20"/>
          <w:szCs w:val="20"/>
        </w:rPr>
        <w:t>:</w:t>
      </w:r>
      <w:r w:rsidRPr="00195D5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Among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men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intermediate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risk PC in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this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study,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addition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EBT to B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resulted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poorer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urinary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bowel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, and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sexual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PROs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meaningful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effect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sizes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urinary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bowel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although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not meeting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protocol-defined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clinically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significant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level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This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study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demonstrates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value-based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care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strongly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supports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B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over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EBT + B in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this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population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since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B has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similar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PFS,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lower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toxicity,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better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patient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reported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outcomes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ostensibly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less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cost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compared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to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185F" w:rsidRPr="0026185F">
        <w:rPr>
          <w:rFonts w:ascii="Times New Roman" w:hAnsi="Times New Roman" w:cs="Times New Roman"/>
          <w:sz w:val="20"/>
          <w:szCs w:val="20"/>
        </w:rPr>
        <w:t>combination</w:t>
      </w:r>
      <w:proofErr w:type="spellEnd"/>
      <w:r w:rsidR="0026185F" w:rsidRPr="0026185F">
        <w:rPr>
          <w:rFonts w:ascii="Times New Roman" w:hAnsi="Times New Roman" w:cs="Times New Roman"/>
          <w:sz w:val="20"/>
          <w:szCs w:val="20"/>
        </w:rPr>
        <w:t>.</w:t>
      </w:r>
    </w:p>
    <w:p w:rsidR="00815153" w:rsidRDefault="00815153" w:rsidP="0026185F">
      <w:pPr>
        <w:spacing w:line="360" w:lineRule="auto"/>
      </w:pPr>
    </w:p>
    <w:p w:rsidR="00CC5223" w:rsidRPr="00195D5C" w:rsidRDefault="00CC5223" w:rsidP="00CC5223">
      <w:pPr>
        <w:spacing w:line="360" w:lineRule="auto"/>
      </w:pPr>
      <w:bookmarkStart w:id="0" w:name="_GoBack"/>
      <w:bookmarkEnd w:id="0"/>
    </w:p>
    <w:sectPr w:rsidR="00CC5223" w:rsidRPr="00195D5C" w:rsidSect="001F110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446"/>
    <w:rsid w:val="000756B5"/>
    <w:rsid w:val="00081DEE"/>
    <w:rsid w:val="001079EA"/>
    <w:rsid w:val="00195D5C"/>
    <w:rsid w:val="0026185F"/>
    <w:rsid w:val="00267408"/>
    <w:rsid w:val="00365446"/>
    <w:rsid w:val="00397807"/>
    <w:rsid w:val="004668FA"/>
    <w:rsid w:val="0077466E"/>
    <w:rsid w:val="00815153"/>
    <w:rsid w:val="009F13D1"/>
    <w:rsid w:val="00C20916"/>
    <w:rsid w:val="00CC5223"/>
    <w:rsid w:val="00D50A54"/>
    <w:rsid w:val="00F7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584B91-ADFA-4F64-ADF5-F6CF18C3A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544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1515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underline">
    <w:name w:val="underline"/>
    <w:basedOn w:val="Standardnpsmoodstavce"/>
    <w:rsid w:val="00815153"/>
  </w:style>
  <w:style w:type="character" w:styleId="Siln">
    <w:name w:val="Strong"/>
    <w:basedOn w:val="Standardnpsmoodstavce"/>
    <w:uiPriority w:val="22"/>
    <w:qFormat/>
    <w:rsid w:val="00815153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815153"/>
    <w:rPr>
      <w:color w:val="0000FF"/>
      <w:u w:val="single"/>
    </w:rPr>
  </w:style>
  <w:style w:type="character" w:customStyle="1" w:styleId="label">
    <w:name w:val="label"/>
    <w:basedOn w:val="Standardnpsmoodstavce"/>
    <w:rsid w:val="00CC5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597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Multiscan Multiscan</dc:creator>
  <cp:keywords/>
  <dc:description/>
  <cp:lastModifiedBy>Multiscan Multiscan</cp:lastModifiedBy>
  <cp:revision>6</cp:revision>
  <dcterms:created xsi:type="dcterms:W3CDTF">2018-11-09T11:34:00Z</dcterms:created>
  <dcterms:modified xsi:type="dcterms:W3CDTF">2018-11-20T09:55:00Z</dcterms:modified>
</cp:coreProperties>
</file>