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9E" w:rsidRDefault="008E0E67" w:rsidP="00DC269F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8E0E67">
        <w:rPr>
          <w:rFonts w:ascii="Times New Roman" w:hAnsi="Times New Roman" w:cs="Times New Roman"/>
          <w:b/>
          <w:szCs w:val="20"/>
        </w:rPr>
        <w:t>Initial</w:t>
      </w:r>
      <w:proofErr w:type="spellEnd"/>
      <w:r w:rsidRPr="008E0E67">
        <w:rPr>
          <w:rFonts w:ascii="Times New Roman" w:hAnsi="Times New Roman" w:cs="Times New Roman"/>
          <w:b/>
          <w:szCs w:val="20"/>
        </w:rPr>
        <w:t xml:space="preserve"> SRS </w:t>
      </w:r>
      <w:proofErr w:type="spellStart"/>
      <w:r w:rsidRPr="008E0E67">
        <w:rPr>
          <w:rFonts w:ascii="Times New Roman" w:hAnsi="Times New Roman" w:cs="Times New Roman"/>
          <w:b/>
          <w:szCs w:val="20"/>
        </w:rPr>
        <w:t>for</w:t>
      </w:r>
      <w:proofErr w:type="spellEnd"/>
      <w:r w:rsidRPr="008E0E6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E0E67">
        <w:rPr>
          <w:rFonts w:ascii="Times New Roman" w:hAnsi="Times New Roman" w:cs="Times New Roman"/>
          <w:b/>
          <w:szCs w:val="20"/>
        </w:rPr>
        <w:t>Patients</w:t>
      </w:r>
      <w:proofErr w:type="spellEnd"/>
      <w:r w:rsidRPr="008E0E6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E0E67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8E0E67">
        <w:rPr>
          <w:rFonts w:ascii="Times New Roman" w:hAnsi="Times New Roman" w:cs="Times New Roman"/>
          <w:b/>
          <w:szCs w:val="20"/>
        </w:rPr>
        <w:t xml:space="preserve"> 5-15 Brain </w:t>
      </w:r>
      <w:proofErr w:type="spellStart"/>
      <w:r w:rsidRPr="008E0E67">
        <w:rPr>
          <w:rFonts w:ascii="Times New Roman" w:hAnsi="Times New Roman" w:cs="Times New Roman"/>
          <w:b/>
          <w:szCs w:val="20"/>
        </w:rPr>
        <w:t>Metastases</w:t>
      </w:r>
      <w:proofErr w:type="spellEnd"/>
      <w:r w:rsidRPr="008E0E67">
        <w:rPr>
          <w:rFonts w:ascii="Times New Roman" w:hAnsi="Times New Roman" w:cs="Times New Roman"/>
          <w:b/>
          <w:szCs w:val="20"/>
        </w:rPr>
        <w:t xml:space="preserve">: </w:t>
      </w:r>
      <w:proofErr w:type="spellStart"/>
      <w:r w:rsidRPr="008E0E67">
        <w:rPr>
          <w:rFonts w:ascii="Times New Roman" w:hAnsi="Times New Roman" w:cs="Times New Roman"/>
          <w:b/>
          <w:szCs w:val="20"/>
        </w:rPr>
        <w:t>Results</w:t>
      </w:r>
      <w:proofErr w:type="spellEnd"/>
      <w:r w:rsidRPr="008E0E6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E0E67">
        <w:rPr>
          <w:rFonts w:ascii="Times New Roman" w:hAnsi="Times New Roman" w:cs="Times New Roman"/>
          <w:b/>
          <w:szCs w:val="20"/>
        </w:rPr>
        <w:t>of</w:t>
      </w:r>
      <w:proofErr w:type="spellEnd"/>
      <w:r w:rsidRPr="008E0E67">
        <w:rPr>
          <w:rFonts w:ascii="Times New Roman" w:hAnsi="Times New Roman" w:cs="Times New Roman"/>
          <w:b/>
          <w:szCs w:val="20"/>
        </w:rPr>
        <w:t xml:space="preserve"> a </w:t>
      </w:r>
      <w:proofErr w:type="spellStart"/>
      <w:r w:rsidRPr="008E0E67">
        <w:rPr>
          <w:rFonts w:ascii="Times New Roman" w:hAnsi="Times New Roman" w:cs="Times New Roman"/>
          <w:b/>
          <w:szCs w:val="20"/>
        </w:rPr>
        <w:t>Multi-Institutional</w:t>
      </w:r>
      <w:proofErr w:type="spellEnd"/>
      <w:r w:rsidRPr="008E0E6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8E0E67">
        <w:rPr>
          <w:rFonts w:ascii="Times New Roman" w:hAnsi="Times New Roman" w:cs="Times New Roman"/>
          <w:b/>
          <w:szCs w:val="20"/>
        </w:rPr>
        <w:t>Experience</w:t>
      </w:r>
      <w:proofErr w:type="spellEnd"/>
    </w:p>
    <w:p w:rsidR="008E0E67" w:rsidRDefault="008E0E67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D5235" w:rsidRDefault="00E0122D" w:rsidP="00E012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0122D">
        <w:rPr>
          <w:rFonts w:ascii="Times New Roman" w:hAnsi="Times New Roman" w:cs="Times New Roman"/>
          <w:sz w:val="20"/>
          <w:szCs w:val="20"/>
        </w:rPr>
        <w:t>R.T.</w:t>
      </w:r>
      <w:proofErr w:type="gramEnd"/>
      <w:r w:rsidRPr="00E0122D">
        <w:rPr>
          <w:rFonts w:ascii="Times New Roman" w:hAnsi="Times New Roman" w:cs="Times New Roman"/>
          <w:sz w:val="20"/>
          <w:szCs w:val="20"/>
        </w:rPr>
        <w:t xml:space="preserve"> Hughes,</w:t>
      </w:r>
      <w:r w:rsidRPr="00E0122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0122D">
        <w:rPr>
          <w:rFonts w:ascii="Times New Roman" w:hAnsi="Times New Roman" w:cs="Times New Roman"/>
          <w:sz w:val="20"/>
          <w:szCs w:val="20"/>
        </w:rPr>
        <w:t xml:space="preserve"> A.H. Masters,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0122D">
        <w:rPr>
          <w:rFonts w:ascii="Times New Roman" w:hAnsi="Times New Roman" w:cs="Times New Roman"/>
          <w:sz w:val="20"/>
          <w:szCs w:val="20"/>
        </w:rPr>
        <w:t xml:space="preserve"> E. McTyre,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0122D">
        <w:rPr>
          <w:rFonts w:ascii="Times New Roman" w:hAnsi="Times New Roman" w:cs="Times New Roman"/>
          <w:sz w:val="20"/>
          <w:szCs w:val="20"/>
        </w:rPr>
        <w:t xml:space="preserve"> M. Farris,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0122D">
        <w:rPr>
          <w:rFonts w:ascii="Times New Roman" w:hAnsi="Times New Roman" w:cs="Times New Roman"/>
          <w:sz w:val="20"/>
          <w:szCs w:val="20"/>
        </w:rPr>
        <w:t xml:space="preserve"> C. Chung,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122D">
        <w:rPr>
          <w:rFonts w:ascii="Times New Roman" w:hAnsi="Times New Roman" w:cs="Times New Roman"/>
          <w:sz w:val="20"/>
          <w:szCs w:val="20"/>
        </w:rPr>
        <w:t>B.R. Page,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122D">
        <w:rPr>
          <w:rFonts w:ascii="Times New Roman" w:hAnsi="Times New Roman" w:cs="Times New Roman"/>
          <w:sz w:val="20"/>
          <w:szCs w:val="20"/>
        </w:rPr>
        <w:t>L.R.</w:t>
      </w:r>
      <w:proofErr w:type="gramEnd"/>
      <w:r w:rsidRPr="00E0122D">
        <w:rPr>
          <w:rFonts w:ascii="Times New Roman" w:hAnsi="Times New Roman" w:cs="Times New Roman"/>
          <w:sz w:val="20"/>
          <w:szCs w:val="20"/>
        </w:rPr>
        <w:t xml:space="preserve"> Kleinberg,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122D">
        <w:rPr>
          <w:rFonts w:ascii="Times New Roman" w:hAnsi="Times New Roman" w:cs="Times New Roman"/>
          <w:sz w:val="20"/>
          <w:szCs w:val="20"/>
        </w:rPr>
        <w:t>J.T.</w:t>
      </w:r>
      <w:proofErr w:type="gramEnd"/>
      <w:r w:rsidRPr="00E0122D">
        <w:rPr>
          <w:rFonts w:ascii="Times New Roman" w:hAnsi="Times New Roman" w:cs="Times New Roman"/>
          <w:sz w:val="20"/>
          <w:szCs w:val="20"/>
        </w:rPr>
        <w:t xml:space="preserve"> Hepel,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E0122D">
        <w:rPr>
          <w:rFonts w:ascii="Times New Roman" w:hAnsi="Times New Roman" w:cs="Times New Roman"/>
          <w:sz w:val="20"/>
          <w:szCs w:val="20"/>
        </w:rPr>
        <w:t xml:space="preserve"> J.N. Contessa,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E0122D">
        <w:rPr>
          <w:rFonts w:ascii="Times New Roman" w:hAnsi="Times New Roman" w:cs="Times New Roman"/>
          <w:sz w:val="20"/>
          <w:szCs w:val="20"/>
        </w:rPr>
        <w:t xml:space="preserve"> V.L. Chiang,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122D">
        <w:rPr>
          <w:rFonts w:ascii="Times New Roman" w:hAnsi="Times New Roman" w:cs="Times New Roman"/>
          <w:sz w:val="20"/>
          <w:szCs w:val="20"/>
        </w:rPr>
        <w:t>J. Ruiz,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0122D">
        <w:rPr>
          <w:rFonts w:ascii="Times New Roman" w:hAnsi="Times New Roman" w:cs="Times New Roman"/>
          <w:sz w:val="20"/>
          <w:szCs w:val="20"/>
        </w:rPr>
        <w:t xml:space="preserve"> K. Watabe,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0122D">
        <w:rPr>
          <w:rFonts w:ascii="Times New Roman" w:hAnsi="Times New Roman" w:cs="Times New Roman"/>
          <w:sz w:val="20"/>
          <w:szCs w:val="20"/>
        </w:rPr>
        <w:t xml:space="preserve"> J. Su,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122D">
        <w:rPr>
          <w:rFonts w:ascii="Times New Roman" w:hAnsi="Times New Roman" w:cs="Times New Roman"/>
          <w:sz w:val="20"/>
          <w:szCs w:val="20"/>
        </w:rPr>
        <w:t>J.B.</w:t>
      </w:r>
      <w:proofErr w:type="gramEnd"/>
      <w:r w:rsidRPr="00E0122D">
        <w:rPr>
          <w:rFonts w:ascii="Times New Roman" w:hAnsi="Times New Roman" w:cs="Times New Roman"/>
          <w:sz w:val="20"/>
          <w:szCs w:val="20"/>
        </w:rPr>
        <w:t xml:space="preserve"> Fiveash,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122D">
        <w:rPr>
          <w:rFonts w:ascii="Times New Roman" w:hAnsi="Times New Roman" w:cs="Times New Roman"/>
          <w:sz w:val="20"/>
          <w:szCs w:val="20"/>
        </w:rPr>
        <w:t>S.E.</w:t>
      </w:r>
      <w:proofErr w:type="gramEnd"/>
      <w:r w:rsidRPr="00E0122D">
        <w:rPr>
          <w:rFonts w:ascii="Times New Roman" w:hAnsi="Times New Roman" w:cs="Times New Roman"/>
          <w:sz w:val="20"/>
          <w:szCs w:val="20"/>
        </w:rPr>
        <w:t xml:space="preserve"> Braunstein,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0122D">
        <w:rPr>
          <w:rFonts w:ascii="Times New Roman" w:hAnsi="Times New Roman" w:cs="Times New Roman"/>
          <w:sz w:val="20"/>
          <w:szCs w:val="20"/>
        </w:rPr>
        <w:t>S.T.</w:t>
      </w:r>
      <w:proofErr w:type="gramEnd"/>
      <w:r w:rsidRPr="00E0122D">
        <w:rPr>
          <w:rFonts w:ascii="Times New Roman" w:hAnsi="Times New Roman" w:cs="Times New Roman"/>
          <w:sz w:val="20"/>
          <w:szCs w:val="20"/>
        </w:rPr>
        <w:t xml:space="preserve"> Chao,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122D">
        <w:rPr>
          <w:rFonts w:ascii="Times New Roman" w:hAnsi="Times New Roman" w:cs="Times New Roman"/>
          <w:sz w:val="20"/>
          <w:szCs w:val="20"/>
        </w:rPr>
        <w:t>A. Attia,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E0122D">
        <w:rPr>
          <w:rFonts w:ascii="Times New Roman" w:hAnsi="Times New Roman" w:cs="Times New Roman"/>
          <w:sz w:val="20"/>
          <w:szCs w:val="20"/>
        </w:rPr>
        <w:t xml:space="preserve"> D.N. Ayala-Peacock,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E0122D">
        <w:rPr>
          <w:rFonts w:ascii="Times New Roman" w:hAnsi="Times New Roman" w:cs="Times New Roman"/>
          <w:sz w:val="20"/>
          <w:szCs w:val="20"/>
        </w:rPr>
        <w:t xml:space="preserve"> and M.D. Chan</w:t>
      </w:r>
      <w:r w:rsidRPr="00A80F0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E0122D">
        <w:rPr>
          <w:rFonts w:ascii="Times New Roman" w:hAnsi="Times New Roman" w:cs="Times New Roman"/>
          <w:sz w:val="20"/>
          <w:szCs w:val="20"/>
        </w:rPr>
        <w:t>;</w:t>
      </w:r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5235" w:rsidRDefault="009D5235" w:rsidP="009D52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0122D" w:rsidRPr="00E0122D" w:rsidRDefault="00E0122D" w:rsidP="00E0122D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Wake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Forest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>, Winston-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Salem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>, NC,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Wake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Forest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Winston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Salem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NC,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E0122D">
        <w:rPr>
          <w:rFonts w:ascii="Times New Roman" w:hAnsi="Times New Roman" w:cs="Times New Roman"/>
          <w:i/>
          <w:sz w:val="20"/>
          <w:szCs w:val="20"/>
        </w:rPr>
        <w:t>Princess Margaret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Toronto, ON,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Johns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Hopkins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Baltimore, MD,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and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Molecular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Sciences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Johns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Hopkins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Baltimore, MD,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</w:p>
    <w:p w:rsidR="00D93A63" w:rsidRDefault="00E0122D" w:rsidP="00E0122D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Tufts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Tufts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Boston, MA,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Yale University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>, New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Haven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CT,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Alabama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at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Birmingham Department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Birmingham, AL,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California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>, San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Francisco, San Francisco, CA,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Cleveland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Clinic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Cleveland, OH,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Vanderbilt University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Nashville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TN, </w:t>
      </w:r>
      <w:r w:rsidRPr="00A80F0B">
        <w:rPr>
          <w:rFonts w:ascii="Times New Roman" w:hAnsi="Times New Roman" w:cs="Times New Roman"/>
          <w:i/>
          <w:sz w:val="20"/>
          <w:szCs w:val="20"/>
          <w:vertAlign w:val="superscript"/>
        </w:rPr>
        <w:t>12</w:t>
      </w:r>
      <w:r w:rsidRPr="00E0122D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Vanderbilt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 xml:space="preserve"> Center, </w:t>
      </w:r>
      <w:proofErr w:type="spellStart"/>
      <w:r w:rsidRPr="00E0122D">
        <w:rPr>
          <w:rFonts w:ascii="Times New Roman" w:hAnsi="Times New Roman" w:cs="Times New Roman"/>
          <w:i/>
          <w:sz w:val="20"/>
          <w:szCs w:val="20"/>
        </w:rPr>
        <w:t>Nashville</w:t>
      </w:r>
      <w:proofErr w:type="spellEnd"/>
      <w:r w:rsidRPr="00E0122D">
        <w:rPr>
          <w:rFonts w:ascii="Times New Roman" w:hAnsi="Times New Roman" w:cs="Times New Roman"/>
          <w:i/>
          <w:sz w:val="20"/>
          <w:szCs w:val="20"/>
        </w:rPr>
        <w:t>, TN</w:t>
      </w:r>
    </w:p>
    <w:p w:rsidR="00E0122D" w:rsidRPr="00E0122D" w:rsidRDefault="00E0122D" w:rsidP="00E012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Several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evaluating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use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stereotactic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radiosurgery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(SRS)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&gt;4 brain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(BM)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demonstrated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1, 2-4, and 5-15 BM,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reports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clinically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decrements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latter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. 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multi-institutional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retrospective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eight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N</w:t>
      </w:r>
      <w:bookmarkStart w:id="0" w:name="_GoBack"/>
      <w:bookmarkEnd w:id="0"/>
      <w:r w:rsidR="00E0122D" w:rsidRPr="00E0122D">
        <w:rPr>
          <w:rFonts w:ascii="Times New Roman" w:hAnsi="Times New Roman" w:cs="Times New Roman"/>
          <w:sz w:val="20"/>
          <w:szCs w:val="20"/>
        </w:rPr>
        <w:t>orth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American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academic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centers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aim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undergoing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upfront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SRS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1, 2-4 and 5-15 BM.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r w:rsidR="00E0122D" w:rsidRPr="00E0122D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2089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upfront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SRS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brain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institutions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lesions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: 1, 2-4 and 5-15.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(OS)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Kaplan-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, gender,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histology,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SRS, SRS dose,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systemic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burden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extracranial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status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predictors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OS and DBF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5-15 BM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stepwise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Cox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hazards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modeling.</w:t>
      </w:r>
    </w:p>
    <w:p w:rsidR="00D93A63" w:rsidRPr="00D93A63" w:rsidRDefault="00195D5C" w:rsidP="00E61CB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E0122D" w:rsidRPr="00E0122D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, 2089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brain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lung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(46%),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melanoma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(19%),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(14%), RCC (11%), and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(10%)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these, 990 had 1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metastasis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, 884 had 2-4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, and 215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had 5-15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marginal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dose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18.5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(IQR 17.5-20.3).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1, 2-4, and 5-15 BM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14.6, 9.5, and 7.5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(log-rank p&lt;0.01).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Cumulative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DBF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30%, 41%, and 50% (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Gray’s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p&lt;0.01)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these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WBRT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13%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1 BM, 16%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2-4 BM, and 19%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5-15 BM (p=0.05).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Subsequent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SRS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utilized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in 27%, 24%, and 20%,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(p=0.11).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BMV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5-15 BM: 11.7 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5-15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3.9 and 6.1 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1 and 2-4 BM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(p&lt;0.01).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revealed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melanoma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hazard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(HR 2.08), male gender (HR 1.76) and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(HR 1.15)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hazard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DBF and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progressive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systemic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(HR 0.59)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decreased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hazard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DBF.</w:t>
      </w:r>
    </w:p>
    <w:p w:rsidR="007F0AD4" w:rsidRDefault="007F0AD4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93A63" w:rsidRPr="00D93A63" w:rsidRDefault="00195D5C" w:rsidP="00D93A6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multi-institutional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experience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represents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largest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cohorts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upfront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SRS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5-15 brain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. These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exhibited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shorter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and a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DBF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fewer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BM.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WBRT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frequent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salvage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SRS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less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frequently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utilized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5-15 BM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though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these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reach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statistical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significance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Melanoma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and male gender,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BM, and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progressive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extracranial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DBF.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regarding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optimal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paradigm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E0122D" w:rsidRPr="00E0122D">
        <w:rPr>
          <w:rFonts w:ascii="Times New Roman" w:hAnsi="Times New Roman" w:cs="Times New Roman"/>
          <w:sz w:val="20"/>
          <w:szCs w:val="20"/>
        </w:rPr>
        <w:t>warranted</w:t>
      </w:r>
      <w:proofErr w:type="spellEnd"/>
      <w:r w:rsidR="00E0122D" w:rsidRPr="00E0122D">
        <w:rPr>
          <w:rFonts w:ascii="Times New Roman" w:hAnsi="Times New Roman" w:cs="Times New Roman"/>
          <w:sz w:val="20"/>
          <w:szCs w:val="20"/>
        </w:rPr>
        <w:t>.</w:t>
      </w:r>
    </w:p>
    <w:p w:rsidR="00DA56CE" w:rsidRDefault="00DA56CE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A56CE" w:rsidSect="007F0AD4"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027C0"/>
    <w:rsid w:val="0005547B"/>
    <w:rsid w:val="000756B5"/>
    <w:rsid w:val="00081DEE"/>
    <w:rsid w:val="001165B9"/>
    <w:rsid w:val="00163944"/>
    <w:rsid w:val="001762F7"/>
    <w:rsid w:val="00195D5C"/>
    <w:rsid w:val="001E579E"/>
    <w:rsid w:val="00217E5B"/>
    <w:rsid w:val="002252C3"/>
    <w:rsid w:val="002437F0"/>
    <w:rsid w:val="00250DA8"/>
    <w:rsid w:val="002574CB"/>
    <w:rsid w:val="0026185F"/>
    <w:rsid w:val="00267408"/>
    <w:rsid w:val="002C7FA7"/>
    <w:rsid w:val="003071AD"/>
    <w:rsid w:val="00365446"/>
    <w:rsid w:val="00397807"/>
    <w:rsid w:val="003A5B9B"/>
    <w:rsid w:val="003D111D"/>
    <w:rsid w:val="004668FA"/>
    <w:rsid w:val="004C677A"/>
    <w:rsid w:val="00566AF3"/>
    <w:rsid w:val="00573C6A"/>
    <w:rsid w:val="00590C71"/>
    <w:rsid w:val="005927F2"/>
    <w:rsid w:val="005F13E0"/>
    <w:rsid w:val="00733C88"/>
    <w:rsid w:val="00773872"/>
    <w:rsid w:val="0077466E"/>
    <w:rsid w:val="007F0AD4"/>
    <w:rsid w:val="007F393D"/>
    <w:rsid w:val="0080397A"/>
    <w:rsid w:val="00815153"/>
    <w:rsid w:val="008E0E67"/>
    <w:rsid w:val="00933112"/>
    <w:rsid w:val="009A4427"/>
    <w:rsid w:val="009D5235"/>
    <w:rsid w:val="009F13D1"/>
    <w:rsid w:val="009F73A1"/>
    <w:rsid w:val="00A74A7A"/>
    <w:rsid w:val="00A80F0B"/>
    <w:rsid w:val="00B15C79"/>
    <w:rsid w:val="00B23696"/>
    <w:rsid w:val="00B301E7"/>
    <w:rsid w:val="00BA229E"/>
    <w:rsid w:val="00BD2622"/>
    <w:rsid w:val="00BF7CE5"/>
    <w:rsid w:val="00C04672"/>
    <w:rsid w:val="00C20916"/>
    <w:rsid w:val="00C31CD0"/>
    <w:rsid w:val="00CC1A70"/>
    <w:rsid w:val="00D038D7"/>
    <w:rsid w:val="00D15187"/>
    <w:rsid w:val="00D757EF"/>
    <w:rsid w:val="00D93A63"/>
    <w:rsid w:val="00DA56CE"/>
    <w:rsid w:val="00DC269F"/>
    <w:rsid w:val="00DC2F08"/>
    <w:rsid w:val="00DF0661"/>
    <w:rsid w:val="00E0122D"/>
    <w:rsid w:val="00E61CBD"/>
    <w:rsid w:val="00EB16E2"/>
    <w:rsid w:val="00F07D37"/>
    <w:rsid w:val="00F335D4"/>
    <w:rsid w:val="00F41CAB"/>
    <w:rsid w:val="00F63352"/>
    <w:rsid w:val="00F7475F"/>
    <w:rsid w:val="00FC6F28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38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60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C1022C"/>
                <w:bottom w:val="single" w:sz="6" w:space="4" w:color="C1022C"/>
                <w:right w:val="single" w:sz="6" w:space="8" w:color="C1022C"/>
              </w:divBdr>
              <w:divsChild>
                <w:div w:id="1735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2018-11-19T10:44:00Z</dcterms:created>
  <dcterms:modified xsi:type="dcterms:W3CDTF">2018-11-19T10:58:00Z</dcterms:modified>
</cp:coreProperties>
</file>