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72" w:rsidRDefault="00CC1A70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CC1A70">
        <w:rPr>
          <w:rFonts w:ascii="Times New Roman" w:hAnsi="Times New Roman" w:cs="Times New Roman"/>
          <w:b/>
          <w:szCs w:val="20"/>
        </w:rPr>
        <w:t xml:space="preserve">A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Twenty-Year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Update on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the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Outcomes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of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a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Randomized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Dose-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Escalation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Trial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for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CC1A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CC1A70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2252C3" w:rsidRPr="000E0DAF" w:rsidRDefault="002252C3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F63352" w:rsidRDefault="00BD2622" w:rsidP="00BD26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D2622">
        <w:rPr>
          <w:rFonts w:ascii="Times New Roman" w:hAnsi="Times New Roman" w:cs="Times New Roman"/>
          <w:sz w:val="20"/>
          <w:szCs w:val="20"/>
        </w:rPr>
        <w:t xml:space="preserve">D. </w:t>
      </w:r>
      <w:proofErr w:type="gramStart"/>
      <w:r w:rsidRPr="00BD2622">
        <w:rPr>
          <w:rFonts w:ascii="Times New Roman" w:hAnsi="Times New Roman" w:cs="Times New Roman"/>
          <w:sz w:val="20"/>
          <w:szCs w:val="20"/>
        </w:rPr>
        <w:t>Pasalic,</w:t>
      </w:r>
      <w:r w:rsidRPr="00BD262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D2622">
        <w:rPr>
          <w:rFonts w:ascii="Times New Roman" w:hAnsi="Times New Roman" w:cs="Times New Roman"/>
          <w:sz w:val="20"/>
          <w:szCs w:val="20"/>
        </w:rPr>
        <w:t xml:space="preserve"> D.A.</w:t>
      </w:r>
      <w:proofErr w:type="gramEnd"/>
      <w:r w:rsidRPr="00BD2622">
        <w:rPr>
          <w:rFonts w:ascii="Times New Roman" w:hAnsi="Times New Roman" w:cs="Times New Roman"/>
          <w:sz w:val="20"/>
          <w:szCs w:val="20"/>
        </w:rPr>
        <w:t xml:space="preserve"> Kuban,</w:t>
      </w:r>
      <w:r w:rsidRPr="00BD262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D2622">
        <w:rPr>
          <w:rFonts w:ascii="Times New Roman" w:hAnsi="Times New Roman" w:cs="Times New Roman"/>
          <w:sz w:val="20"/>
          <w:szCs w:val="20"/>
        </w:rPr>
        <w:t xml:space="preserve"> P.K. Allen,</w:t>
      </w:r>
      <w:r w:rsidRPr="00BD262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D2622">
        <w:rPr>
          <w:rFonts w:ascii="Times New Roman" w:hAnsi="Times New Roman" w:cs="Times New Roman"/>
          <w:sz w:val="20"/>
          <w:szCs w:val="20"/>
        </w:rPr>
        <w:t xml:space="preserve"> and M.S. Anscher</w:t>
      </w:r>
      <w:r w:rsidRPr="00BD2622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BD2622">
        <w:rPr>
          <w:rFonts w:ascii="Times New Roman" w:hAnsi="Times New Roman" w:cs="Times New Roman"/>
          <w:sz w:val="20"/>
          <w:szCs w:val="20"/>
        </w:rPr>
        <w:t>;</w:t>
      </w:r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335D4" w:rsidRDefault="00BD2622" w:rsidP="00BD2622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D2622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BD2622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2622">
        <w:rPr>
          <w:rFonts w:ascii="Times New Roman" w:hAnsi="Times New Roman" w:cs="Times New Roman"/>
          <w:i/>
          <w:sz w:val="20"/>
          <w:szCs w:val="20"/>
        </w:rPr>
        <w:t xml:space="preserve">Texas MD Anderson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Center, Houston, TX, </w:t>
      </w:r>
      <w:r w:rsidRPr="00BD2622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2622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Texas MD Anderson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Center,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2622">
        <w:rPr>
          <w:rFonts w:ascii="Times New Roman" w:hAnsi="Times New Roman" w:cs="Times New Roman"/>
          <w:i/>
          <w:sz w:val="20"/>
          <w:szCs w:val="20"/>
        </w:rPr>
        <w:t xml:space="preserve">Houston, TX, </w:t>
      </w:r>
      <w:r w:rsidRPr="00BD2622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2622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Texas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2622">
        <w:rPr>
          <w:rFonts w:ascii="Times New Roman" w:hAnsi="Times New Roman" w:cs="Times New Roman"/>
          <w:i/>
          <w:sz w:val="20"/>
          <w:szCs w:val="20"/>
        </w:rPr>
        <w:t xml:space="preserve">MD Anderson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Center, Houston, TX, </w:t>
      </w:r>
      <w:r w:rsidRPr="00BD2622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2622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Texas MD Anderson </w:t>
      </w:r>
      <w:proofErr w:type="spellStart"/>
      <w:r w:rsidRPr="00BD262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BD2622">
        <w:rPr>
          <w:rFonts w:ascii="Times New Roman" w:hAnsi="Times New Roman" w:cs="Times New Roman"/>
          <w:i/>
          <w:sz w:val="20"/>
          <w:szCs w:val="20"/>
        </w:rPr>
        <w:t xml:space="preserve"> Center, Houston, VA</w:t>
      </w:r>
    </w:p>
    <w:p w:rsidR="00BD2622" w:rsidRPr="00BD2622" w:rsidRDefault="00BD2622" w:rsidP="00BD262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indolent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nature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prolonged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sought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report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long-term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escalation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trial.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1993-1998, a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301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external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70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vs. 78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planned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neoadjuvant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hormone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Recurrences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follows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as per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Phoenix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criteria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palpable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confirmed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via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biopsy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biopsy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done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rising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PSA;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 CT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scan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and/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biopsy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; and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metastasis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by a bone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scan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confirmed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chart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Security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Index, and/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>. Kaplan-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(FFF),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disease-specific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hazards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>.</w:t>
      </w:r>
    </w:p>
    <w:p w:rsidR="00F41CAB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14.3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ethnicity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PSA,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NCCN risk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stratification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301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214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deceased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December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2017.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22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requested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stop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and/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lost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-up.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since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last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24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: 0 - 231).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Comparing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70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vs. 78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FFF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53.8% vs. 74.3%,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(p=0.0018),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largely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driven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improvements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(24.4% vs. 13.5%,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; p=0.05) and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(17.4% vs. 5.3%,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; p=0.020). FFF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78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(p=0.035) and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(p=0.020) NCCN risk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predict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FFF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pre-treatment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PSA &gt;10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/ml,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and tumor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107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91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57.7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mo</w:t>
      </w:r>
      <w:bookmarkStart w:id="0" w:name="_GoBack"/>
      <w:bookmarkEnd w:id="0"/>
      <w:r w:rsidR="003D111D" w:rsidRPr="003D111D">
        <w:rPr>
          <w:rFonts w:ascii="Times New Roman" w:hAnsi="Times New Roman" w:cs="Times New Roman"/>
          <w:sz w:val="20"/>
          <w:szCs w:val="20"/>
        </w:rPr>
        <w:t>nths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protocol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: 7.7 – 257.5; p=0.553).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disease-specific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although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latter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68.4% vs. 82.3%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favoring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escalation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(HR: 0.57, CI 0.31-1.06; p=0.074). A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(2.3%) had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malignancies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possibly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radiation-related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: 1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rectal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and 6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bladder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>.</w:t>
      </w:r>
    </w:p>
    <w:p w:rsidR="00815153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up, dose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escalation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to confer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localized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trending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toward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nearly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halved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by dose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escalation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, long-term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malignancy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shorter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-up.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offers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unique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insight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1D" w:rsidRPr="003D111D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D111D" w:rsidRPr="003D111D">
        <w:rPr>
          <w:rFonts w:ascii="Times New Roman" w:hAnsi="Times New Roman" w:cs="Times New Roman"/>
          <w:sz w:val="20"/>
          <w:szCs w:val="20"/>
        </w:rPr>
        <w:t xml:space="preserve"> dose.</w:t>
      </w:r>
    </w:p>
    <w:sectPr w:rsidR="00815153" w:rsidSect="003D111D">
      <w:pgSz w:w="11900" w:h="16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756B5"/>
    <w:rsid w:val="00081DEE"/>
    <w:rsid w:val="001165B9"/>
    <w:rsid w:val="00195D5C"/>
    <w:rsid w:val="002252C3"/>
    <w:rsid w:val="0026185F"/>
    <w:rsid w:val="00267408"/>
    <w:rsid w:val="00365446"/>
    <w:rsid w:val="00397807"/>
    <w:rsid w:val="003D111D"/>
    <w:rsid w:val="004668FA"/>
    <w:rsid w:val="00733C88"/>
    <w:rsid w:val="0077466E"/>
    <w:rsid w:val="00815153"/>
    <w:rsid w:val="009F13D1"/>
    <w:rsid w:val="00B23696"/>
    <w:rsid w:val="00BD2622"/>
    <w:rsid w:val="00BF7CE5"/>
    <w:rsid w:val="00C04672"/>
    <w:rsid w:val="00C20916"/>
    <w:rsid w:val="00CC1A70"/>
    <w:rsid w:val="00F335D4"/>
    <w:rsid w:val="00F41CAB"/>
    <w:rsid w:val="00F63352"/>
    <w:rsid w:val="00F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2018-11-13T11:09:00Z</dcterms:created>
  <dcterms:modified xsi:type="dcterms:W3CDTF">2018-11-13T13:15:00Z</dcterms:modified>
</cp:coreProperties>
</file>