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F3" w:rsidRPr="000E0DAF" w:rsidRDefault="00933112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933112">
        <w:rPr>
          <w:rFonts w:ascii="Times New Roman" w:hAnsi="Times New Roman" w:cs="Times New Roman"/>
          <w:b/>
          <w:szCs w:val="20"/>
        </w:rPr>
        <w:t xml:space="preserve">Risk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of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Pneumonitis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Following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Individualized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Modern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IMRT, a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Breath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-Holding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Technique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and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Prone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Positioning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for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Breast</w:t>
      </w:r>
      <w:proofErr w:type="spellEnd"/>
      <w:r w:rsidRPr="0093311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33112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EB16E2" w:rsidRDefault="00EB16E2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3352" w:rsidRDefault="00FD3E3D" w:rsidP="00EB16E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D3E3D">
        <w:rPr>
          <w:rFonts w:ascii="Times New Roman" w:hAnsi="Times New Roman" w:cs="Times New Roman"/>
          <w:sz w:val="20"/>
          <w:szCs w:val="20"/>
        </w:rPr>
        <w:t>B.M.</w:t>
      </w:r>
      <w:proofErr w:type="gramEnd"/>
      <w:r w:rsidRPr="00FD3E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3E3D">
        <w:rPr>
          <w:rFonts w:ascii="Times New Roman" w:hAnsi="Times New Roman" w:cs="Times New Roman"/>
          <w:sz w:val="20"/>
          <w:szCs w:val="20"/>
        </w:rPr>
        <w:t>Lee</w:t>
      </w:r>
      <w:proofErr w:type="spellEnd"/>
      <w:r w:rsidRPr="00FD3E3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D3E3D">
        <w:rPr>
          <w:rFonts w:ascii="Times New Roman" w:hAnsi="Times New Roman" w:cs="Times New Roman"/>
          <w:sz w:val="20"/>
          <w:szCs w:val="20"/>
        </w:rPr>
        <w:t>J.S.</w:t>
      </w:r>
      <w:proofErr w:type="gramEnd"/>
      <w:r w:rsidRPr="00FD3E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3E3D">
        <w:rPr>
          <w:rFonts w:ascii="Times New Roman" w:hAnsi="Times New Roman" w:cs="Times New Roman"/>
          <w:sz w:val="20"/>
          <w:szCs w:val="20"/>
        </w:rPr>
        <w:t>Chang</w:t>
      </w:r>
      <w:proofErr w:type="spellEnd"/>
      <w:r w:rsidRPr="00FD3E3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D3E3D">
        <w:rPr>
          <w:rFonts w:ascii="Times New Roman" w:hAnsi="Times New Roman" w:cs="Times New Roman"/>
          <w:sz w:val="20"/>
          <w:szCs w:val="20"/>
        </w:rPr>
        <w:t>K.C.</w:t>
      </w:r>
      <w:proofErr w:type="gramEnd"/>
      <w:r w:rsidRPr="00FD3E3D">
        <w:rPr>
          <w:rFonts w:ascii="Times New Roman" w:hAnsi="Times New Roman" w:cs="Times New Roman"/>
          <w:sz w:val="20"/>
          <w:szCs w:val="20"/>
        </w:rPr>
        <w:t xml:space="preserve"> Keum, C.O. </w:t>
      </w:r>
      <w:proofErr w:type="spellStart"/>
      <w:r w:rsidRPr="00FD3E3D">
        <w:rPr>
          <w:rFonts w:ascii="Times New Roman" w:hAnsi="Times New Roman" w:cs="Times New Roman"/>
          <w:sz w:val="20"/>
          <w:szCs w:val="20"/>
        </w:rPr>
        <w:t>Suh</w:t>
      </w:r>
      <w:proofErr w:type="spellEnd"/>
      <w:r w:rsidRPr="00FD3E3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D3E3D">
        <w:rPr>
          <w:rFonts w:ascii="Times New Roman" w:hAnsi="Times New Roman" w:cs="Times New Roman"/>
          <w:sz w:val="20"/>
          <w:szCs w:val="20"/>
        </w:rPr>
        <w:t>and Y.B.</w:t>
      </w:r>
      <w:proofErr w:type="gramEnd"/>
      <w:r w:rsidRPr="00FD3E3D">
        <w:rPr>
          <w:rFonts w:ascii="Times New Roman" w:hAnsi="Times New Roman" w:cs="Times New Roman"/>
          <w:sz w:val="20"/>
          <w:szCs w:val="20"/>
        </w:rPr>
        <w:t xml:space="preserve"> Kim</w:t>
      </w:r>
      <w:r w:rsidR="00DC269F" w:rsidRPr="00DC269F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C677A" w:rsidRDefault="00F07D37" w:rsidP="00F07D3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07D37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Yonsei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Yonsei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College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Seoul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, Korea, Republic 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F07D37">
        <w:rPr>
          <w:rFonts w:ascii="Times New Roman" w:hAnsi="Times New Roman" w:cs="Times New Roman"/>
          <w:i/>
          <w:sz w:val="20"/>
          <w:szCs w:val="20"/>
        </w:rPr>
        <w:t>South</w:t>
      </w:r>
      <w:proofErr w:type="spellEnd"/>
      <w:r w:rsidRPr="00F07D37">
        <w:rPr>
          <w:rFonts w:ascii="Times New Roman" w:hAnsi="Times New Roman" w:cs="Times New Roman"/>
          <w:i/>
          <w:sz w:val="20"/>
          <w:szCs w:val="20"/>
        </w:rPr>
        <w:t>)</w:t>
      </w:r>
    </w:p>
    <w:p w:rsidR="00F07D37" w:rsidRPr="001762F7" w:rsidRDefault="00F07D37" w:rsidP="00F07D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art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delivering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emerged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improve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target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coverage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limiting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traditional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F07D37" w:rsidRPr="00F07D37">
        <w:rPr>
          <w:rFonts w:ascii="Times New Roman" w:hAnsi="Times New Roman" w:cs="Times New Roman"/>
          <w:sz w:val="20"/>
          <w:szCs w:val="20"/>
        </w:rPr>
        <w:t>toxicities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heart</w:t>
      </w:r>
      <w:proofErr w:type="spellEnd"/>
      <w:proofErr w:type="gram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therewith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resource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intensiveness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difficulties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applying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these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individualized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delivery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advantageous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especially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anatomic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challenges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pulmonary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individualized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-sparing radiation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delivery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2015 and 2017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prospectively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collected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registry.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accelerated-partial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irradiation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(n = 114) and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hospital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(n = 127)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In a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left-sided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tumor,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deep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inspiration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hold (DIBH)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distance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adjacent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&gt;1cm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breathing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prone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attempted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pendulous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breasts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applying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IMRT, use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VMAT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partial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arcs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irradiating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gantry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angles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60°/160° to 190°/310°,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occurrence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symptomatic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pneumonitis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(RP).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planning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transferred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MIM software,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as a reference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multiple-plan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study period, 1658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fractionation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(23.5%)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hypofractionation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(76.5%).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commonly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VMAT (38.9%),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by DIBH (33.5%),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-in-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(13.3%),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tangential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wedge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fields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(11.4%),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prone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positioning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(2.2%), and reverse-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hockey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stick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(0.8%).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internal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mammary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nodes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(IMN) RT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38.5%. At a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RP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occurred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40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(2.4%). RP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VMAT (0.9%) and DIBH/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prone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(2.0%),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(5.2%).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RP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became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more prominent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upon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subdividing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to IMN RT use (no-IMN RT, 1.0% vs. 1.5% vs. </w:t>
      </w:r>
      <w:proofErr w:type="gramStart"/>
      <w:r w:rsidR="00F07D37" w:rsidRPr="00F07D37">
        <w:rPr>
          <w:rFonts w:ascii="Times New Roman" w:hAnsi="Times New Roman" w:cs="Times New Roman"/>
          <w:sz w:val="20"/>
          <w:szCs w:val="20"/>
        </w:rPr>
        <w:t>4.7%, P = .003</w:t>
      </w:r>
      <w:proofErr w:type="gram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; IMN RT, 0.9% vs. 3.2% vs. 6.5%, </w:t>
      </w:r>
      <w:proofErr w:type="spellStart"/>
      <w:proofErr w:type="gramStart"/>
      <w:r w:rsidR="00F07D37" w:rsidRPr="00F07D37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, P = .004</w:t>
      </w:r>
      <w:proofErr w:type="gram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). In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RT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and IMN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irradiation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independently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RP risk. In 233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data, RP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lung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dose, V5, V10, V15, V20, and V30, but not V40.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dose,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.</w:t>
      </w:r>
    </w:p>
    <w:p w:rsidR="00DA56CE" w:rsidRDefault="00195D5C" w:rsidP="00590C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represents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largest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, single-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reviews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pulmonary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lastRenderedPageBreak/>
        <w:t>Individualized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delivery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optimize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pulmonary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particularly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IMNs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7D37" w:rsidRPr="00F07D37">
        <w:rPr>
          <w:rFonts w:ascii="Times New Roman" w:hAnsi="Times New Roman" w:cs="Times New Roman"/>
          <w:sz w:val="20"/>
          <w:szCs w:val="20"/>
        </w:rPr>
        <w:t>target</w:t>
      </w:r>
      <w:proofErr w:type="spellEnd"/>
      <w:r w:rsidR="00F07D37" w:rsidRPr="00F07D37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756B5"/>
    <w:rsid w:val="00081DEE"/>
    <w:rsid w:val="001165B9"/>
    <w:rsid w:val="001762F7"/>
    <w:rsid w:val="00195D5C"/>
    <w:rsid w:val="002252C3"/>
    <w:rsid w:val="002574CB"/>
    <w:rsid w:val="0026185F"/>
    <w:rsid w:val="00267408"/>
    <w:rsid w:val="002C7FA7"/>
    <w:rsid w:val="00365446"/>
    <w:rsid w:val="00397807"/>
    <w:rsid w:val="003D111D"/>
    <w:rsid w:val="004668FA"/>
    <w:rsid w:val="004C677A"/>
    <w:rsid w:val="00566AF3"/>
    <w:rsid w:val="00590C71"/>
    <w:rsid w:val="005927F2"/>
    <w:rsid w:val="00733C88"/>
    <w:rsid w:val="0077466E"/>
    <w:rsid w:val="007F0AD4"/>
    <w:rsid w:val="007F393D"/>
    <w:rsid w:val="0080397A"/>
    <w:rsid w:val="00815153"/>
    <w:rsid w:val="00933112"/>
    <w:rsid w:val="009A4427"/>
    <w:rsid w:val="009F13D1"/>
    <w:rsid w:val="009F73A1"/>
    <w:rsid w:val="00B15C79"/>
    <w:rsid w:val="00B23696"/>
    <w:rsid w:val="00BD2622"/>
    <w:rsid w:val="00BF7CE5"/>
    <w:rsid w:val="00C04672"/>
    <w:rsid w:val="00C20916"/>
    <w:rsid w:val="00CC1A70"/>
    <w:rsid w:val="00D757EF"/>
    <w:rsid w:val="00DA56CE"/>
    <w:rsid w:val="00DC269F"/>
    <w:rsid w:val="00DC2F08"/>
    <w:rsid w:val="00DF0661"/>
    <w:rsid w:val="00EB16E2"/>
    <w:rsid w:val="00F07D37"/>
    <w:rsid w:val="00F335D4"/>
    <w:rsid w:val="00F41CAB"/>
    <w:rsid w:val="00F63352"/>
    <w:rsid w:val="00F7475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2018-11-14T10:25:00Z</dcterms:created>
  <dcterms:modified xsi:type="dcterms:W3CDTF">2018-11-14T10:40:00Z</dcterms:modified>
</cp:coreProperties>
</file>