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D0" w:rsidRDefault="00E46497" w:rsidP="00E46497">
      <w:pPr>
        <w:spacing w:line="360" w:lineRule="auto"/>
        <w:rPr>
          <w:rFonts w:ascii="Times New Roman" w:hAnsi="Times New Roman" w:cs="Times New Roman"/>
          <w:b/>
          <w:szCs w:val="20"/>
        </w:rPr>
      </w:pPr>
      <w:r w:rsidRPr="00E46497">
        <w:rPr>
          <w:rFonts w:ascii="Times New Roman" w:hAnsi="Times New Roman" w:cs="Times New Roman"/>
          <w:b/>
          <w:szCs w:val="20"/>
        </w:rPr>
        <w:t xml:space="preserve">NRG-RTOG 1016: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Phase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III Trial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Comparing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to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in HPV-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related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of</w:t>
      </w:r>
      <w:proofErr w:type="spellEnd"/>
      <w:r w:rsidR="00FD4A51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b/>
          <w:szCs w:val="20"/>
        </w:rPr>
        <w:t>Oropharynx</w:t>
      </w:r>
      <w:proofErr w:type="spellEnd"/>
    </w:p>
    <w:p w:rsid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46497">
        <w:rPr>
          <w:rFonts w:ascii="Times New Roman" w:hAnsi="Times New Roman" w:cs="Times New Roman"/>
          <w:sz w:val="20"/>
          <w:szCs w:val="20"/>
        </w:rPr>
        <w:t>A. Trotti,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6497">
        <w:rPr>
          <w:rFonts w:ascii="Times New Roman" w:hAnsi="Times New Roman" w:cs="Times New Roman"/>
          <w:sz w:val="20"/>
          <w:szCs w:val="20"/>
        </w:rPr>
        <w:t xml:space="preserve"> J. Harris,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46497">
        <w:rPr>
          <w:rFonts w:ascii="Times New Roman" w:hAnsi="Times New Roman" w:cs="Times New Roman"/>
          <w:sz w:val="20"/>
          <w:szCs w:val="20"/>
        </w:rPr>
        <w:t xml:space="preserve"> M. Gillison,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46497">
        <w:rPr>
          <w:rFonts w:ascii="Times New Roman" w:hAnsi="Times New Roman" w:cs="Times New Roman"/>
          <w:sz w:val="20"/>
          <w:szCs w:val="20"/>
        </w:rPr>
        <w:t xml:space="preserve"> A. Eisbruch,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P.M.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Harari,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>D.J.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Adelstein,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E46497">
        <w:rPr>
          <w:rFonts w:ascii="Times New Roman" w:hAnsi="Times New Roman" w:cs="Times New Roman"/>
          <w:sz w:val="20"/>
          <w:szCs w:val="20"/>
        </w:rPr>
        <w:t xml:space="preserve"> E.M. Sturgis,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J.M.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Galvin,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E46497">
        <w:rPr>
          <w:rFonts w:ascii="Times New Roman" w:hAnsi="Times New Roman" w:cs="Times New Roman"/>
          <w:sz w:val="20"/>
          <w:szCs w:val="20"/>
        </w:rPr>
        <w:t xml:space="preserve"> S. Koyfman,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9</w:t>
      </w:r>
      <w:r w:rsidRPr="00E46497">
        <w:rPr>
          <w:rFonts w:ascii="Times New Roman" w:hAnsi="Times New Roman" w:cs="Times New Roman"/>
          <w:sz w:val="20"/>
          <w:szCs w:val="20"/>
        </w:rPr>
        <w:t xml:space="preserve"> D. Blakaj,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M.A.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Razaq,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E46497">
        <w:rPr>
          <w:rFonts w:ascii="Times New Roman" w:hAnsi="Times New Roman" w:cs="Times New Roman"/>
          <w:sz w:val="20"/>
          <w:szCs w:val="20"/>
        </w:rPr>
        <w:t xml:space="preserve"> A.D. Colevas,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12,13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J.J.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Beitler,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 w:rsidRPr="00E46497">
        <w:rPr>
          <w:rFonts w:ascii="Times New Roman" w:hAnsi="Times New Roman" w:cs="Times New Roman"/>
          <w:sz w:val="20"/>
          <w:szCs w:val="20"/>
        </w:rPr>
        <w:t xml:space="preserve"> C.U.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Jones,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proofErr w:type="gramEnd"/>
    </w:p>
    <w:p w:rsid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46497">
        <w:rPr>
          <w:rFonts w:ascii="Times New Roman" w:hAnsi="Times New Roman" w:cs="Times New Roman"/>
          <w:sz w:val="20"/>
          <w:szCs w:val="20"/>
        </w:rPr>
        <w:t>N.E.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Dunlap,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46497">
        <w:rPr>
          <w:rFonts w:ascii="Times New Roman" w:hAnsi="Times New Roman" w:cs="Times New Roman"/>
          <w:sz w:val="20"/>
          <w:szCs w:val="20"/>
        </w:rPr>
        <w:t>S.A.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Seaward,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Pr="00E46497">
        <w:rPr>
          <w:rFonts w:ascii="Times New Roman" w:hAnsi="Times New Roman" w:cs="Times New Roman"/>
          <w:sz w:val="20"/>
          <w:szCs w:val="20"/>
        </w:rPr>
        <w:t xml:space="preserve"> S.A. Spencer,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Pr="00E46497">
        <w:rPr>
          <w:rFonts w:ascii="Times New Roman" w:hAnsi="Times New Roman" w:cs="Times New Roman"/>
          <w:sz w:val="20"/>
          <w:szCs w:val="20"/>
        </w:rPr>
        <w:t xml:space="preserve"> J.A. Ridge,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19</w:t>
      </w:r>
      <w:r w:rsidRPr="00E46497">
        <w:rPr>
          <w:rFonts w:ascii="Times New Roman" w:hAnsi="Times New Roman" w:cs="Times New Roman"/>
          <w:sz w:val="20"/>
          <w:szCs w:val="20"/>
        </w:rPr>
        <w:t xml:space="preserve"> J. Phan,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20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Q.T. Le</w:t>
      </w:r>
      <w:r w:rsidRPr="00FD4A51">
        <w:rPr>
          <w:rFonts w:ascii="Times New Roman" w:hAnsi="Times New Roman" w:cs="Times New Roman"/>
          <w:sz w:val="20"/>
          <w:szCs w:val="20"/>
          <w:vertAlign w:val="superscript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Mofffitt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Center and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Institute, Tampa, FL,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RTOG, Philadelphia, PA,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MD Anderson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Center, Houston, TX,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Department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Michigan, Ann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Arbor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>,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E46497">
        <w:rPr>
          <w:rFonts w:ascii="Times New Roman" w:hAnsi="Times New Roman" w:cs="Times New Roman"/>
          <w:i/>
          <w:sz w:val="20"/>
          <w:szCs w:val="20"/>
        </w:rPr>
        <w:t xml:space="preserve">MI,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Department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Human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Wisconsin,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Madison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>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WI,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Department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Hematology/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Taussig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Institute,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Cleveland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Clinic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Cleveland, OH,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7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The 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Texas MD Anderson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Center, Houston, TX,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8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IROC, Philadelphia, PA,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9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Department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</w:p>
    <w:p w:rsidR="00340FD0" w:rsidRDefault="00E46497" w:rsidP="00E4649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Taussig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Institute, Cleveland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Clinic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>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Cleveland, OH,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10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Ohio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state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university,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Columbus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OH,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11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Oklahoma, Oklahoma City, OK,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12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Stanford, Palo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Alto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CA,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13</w:t>
      </w:r>
      <w:r w:rsidRPr="00E46497">
        <w:rPr>
          <w:rFonts w:ascii="Times New Roman" w:hAnsi="Times New Roman" w:cs="Times New Roman"/>
          <w:i/>
          <w:sz w:val="20"/>
          <w:szCs w:val="20"/>
        </w:rPr>
        <w:t>Stanford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University, Palo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Alto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CA,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14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Emory, Atlanta, GA,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15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Sutter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Medical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Group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and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Center,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Sacramento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CA,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16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Louisville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Hospital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>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Department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Louisville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KY,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17</w:t>
      </w:r>
      <w:r w:rsidRPr="00E46497">
        <w:rPr>
          <w:rFonts w:ascii="Times New Roman" w:hAnsi="Times New Roman" w:cs="Times New Roman"/>
          <w:i/>
          <w:sz w:val="20"/>
          <w:szCs w:val="20"/>
        </w:rPr>
        <w:t>Kaiser Permanente,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Vallejo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CA,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18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Alabama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at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Birmingham, Birmingham, AL,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19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Fox Chase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Center, Philadelphia, PA,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20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Dept.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Radiation</w:t>
      </w:r>
      <w:proofErr w:type="spellEnd"/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Oncology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University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Texas MD Anderson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Center, Houston,</w:t>
      </w:r>
      <w:r w:rsidR="00FD4A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TX, </w:t>
      </w:r>
      <w:r w:rsidRPr="00FD4A51">
        <w:rPr>
          <w:rFonts w:ascii="Times New Roman" w:hAnsi="Times New Roman" w:cs="Times New Roman"/>
          <w:i/>
          <w:sz w:val="20"/>
          <w:szCs w:val="20"/>
          <w:vertAlign w:val="superscript"/>
        </w:rPr>
        <w:t>21</w:t>
      </w:r>
      <w:r w:rsidRPr="00E46497">
        <w:rPr>
          <w:rFonts w:ascii="Times New Roman" w:hAnsi="Times New Roman" w:cs="Times New Roman"/>
          <w:i/>
          <w:sz w:val="20"/>
          <w:szCs w:val="20"/>
        </w:rPr>
        <w:t xml:space="preserve">Stanford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 xml:space="preserve"> Institute, </w:t>
      </w:r>
      <w:proofErr w:type="spellStart"/>
      <w:r w:rsidRPr="00E46497">
        <w:rPr>
          <w:rFonts w:ascii="Times New Roman" w:hAnsi="Times New Roman" w:cs="Times New Roman"/>
          <w:i/>
          <w:sz w:val="20"/>
          <w:szCs w:val="20"/>
        </w:rPr>
        <w:t>Stanford</w:t>
      </w:r>
      <w:proofErr w:type="spellEnd"/>
      <w:r w:rsidRPr="00E46497">
        <w:rPr>
          <w:rFonts w:ascii="Times New Roman" w:hAnsi="Times New Roman" w:cs="Times New Roman"/>
          <w:i/>
          <w:sz w:val="20"/>
          <w:szCs w:val="20"/>
        </w:rPr>
        <w:t>, CA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D4A51">
        <w:rPr>
          <w:rFonts w:ascii="Times New Roman" w:hAnsi="Times New Roman" w:cs="Times New Roman"/>
          <w:b/>
          <w:sz w:val="20"/>
          <w:szCs w:val="20"/>
        </w:rPr>
        <w:t>Purpose</w:t>
      </w:r>
      <w:proofErr w:type="spellEnd"/>
      <w:r w:rsidRPr="00FD4A51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FD4A51">
        <w:rPr>
          <w:rFonts w:ascii="Times New Roman" w:hAnsi="Times New Roman" w:cs="Times New Roman"/>
          <w:b/>
          <w:sz w:val="20"/>
          <w:szCs w:val="20"/>
        </w:rPr>
        <w:t>Objective</w:t>
      </w:r>
      <w:proofErr w:type="spellEnd"/>
      <w:r w:rsidRPr="00FD4A51">
        <w:rPr>
          <w:rFonts w:ascii="Times New Roman" w:hAnsi="Times New Roman" w:cs="Times New Roman"/>
          <w:b/>
          <w:sz w:val="20"/>
          <w:szCs w:val="20"/>
        </w:rPr>
        <w:t>(s):</w:t>
      </w:r>
      <w:r w:rsidRPr="00E46497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determine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whether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>has non-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inferior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in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locoregionally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advanced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papillomavirus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(HPV)</w:t>
      </w:r>
      <w:r w:rsidR="00285298">
        <w:rPr>
          <w:rFonts w:ascii="Times New Roman" w:hAnsi="Times New Roman" w:cs="Times New Roman"/>
          <w:sz w:val="20"/>
          <w:szCs w:val="20"/>
        </w:rPr>
        <w:t>-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oropharynx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.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D4A51">
        <w:rPr>
          <w:rFonts w:ascii="Times New Roman" w:hAnsi="Times New Roman" w:cs="Times New Roman"/>
          <w:b/>
          <w:sz w:val="20"/>
          <w:szCs w:val="20"/>
        </w:rPr>
        <w:t>Materials</w:t>
      </w:r>
      <w:proofErr w:type="spellEnd"/>
      <w:r w:rsidRPr="00FD4A51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FD4A51">
        <w:rPr>
          <w:rFonts w:ascii="Times New Roman" w:hAnsi="Times New Roman" w:cs="Times New Roman"/>
          <w:b/>
          <w:sz w:val="20"/>
          <w:szCs w:val="20"/>
        </w:rPr>
        <w:t>Methods</w:t>
      </w:r>
      <w:proofErr w:type="spellEnd"/>
      <w:r w:rsidRPr="00FD4A51">
        <w:rPr>
          <w:rFonts w:ascii="Times New Roman" w:hAnsi="Times New Roman" w:cs="Times New Roman"/>
          <w:b/>
          <w:sz w:val="20"/>
          <w:szCs w:val="20"/>
        </w:rPr>
        <w:t>: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Eligible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randomized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(1:1) to 70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Gy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in 6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weeks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accelerated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(6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fractions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week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cycles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100mg/m2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every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weeks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versus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weekly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had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central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confirmation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HPV status by p16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46497">
        <w:rPr>
          <w:rFonts w:ascii="Times New Roman" w:hAnsi="Times New Roman" w:cs="Times New Roman"/>
          <w:sz w:val="20"/>
          <w:szCs w:val="20"/>
        </w:rPr>
        <w:t>immunohistochemistry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stratified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by T-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stage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, N-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stage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Zubrod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 xml:space="preserve">performance status, and smoking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history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At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final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, non-inferiority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would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concluded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hazard ratio (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upper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confidence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bound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4649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r w:rsidR="0019661F">
        <w:rPr>
          <w:rFonts w:ascii="Times New Roman" w:hAnsi="Times New Roman" w:cs="Times New Roman"/>
          <w:sz w:val="20"/>
          <w:szCs w:val="20"/>
        </w:rPr>
        <w:t>≤</w:t>
      </w:r>
      <w:r w:rsidRPr="00E46497">
        <w:rPr>
          <w:rFonts w:ascii="Times New Roman" w:hAnsi="Times New Roman" w:cs="Times New Roman"/>
          <w:sz w:val="20"/>
          <w:szCs w:val="20"/>
        </w:rPr>
        <w:t>1.45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>.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D4A51">
        <w:rPr>
          <w:rFonts w:ascii="Times New Roman" w:hAnsi="Times New Roman" w:cs="Times New Roman"/>
          <w:b/>
          <w:sz w:val="20"/>
          <w:szCs w:val="20"/>
        </w:rPr>
        <w:t>Results</w:t>
      </w:r>
      <w:proofErr w:type="spellEnd"/>
      <w:r w:rsidRPr="00FD4A51">
        <w:rPr>
          <w:rFonts w:ascii="Times New Roman" w:hAnsi="Times New Roman" w:cs="Times New Roman"/>
          <w:b/>
          <w:sz w:val="20"/>
          <w:szCs w:val="20"/>
        </w:rPr>
        <w:t>: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6/11 to 7/14, 849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randomized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whom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805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90%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male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median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58.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 xml:space="preserve">hazard ratio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1.45 (95%CI 1.03-2.05). </w:t>
      </w:r>
      <w:proofErr w:type="spellStart"/>
      <w:proofErr w:type="gramStart"/>
      <w:r w:rsidRPr="00E46497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5-year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rates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84.6% (80.6-88.6)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versus 77.9% (73.4-82.5)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1966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Progression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-free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worse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compared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[hazard ratio 1.72 (1.29-2.29);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one-sided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log-rank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>p</w:t>
      </w:r>
      <w:r w:rsidR="00285298">
        <w:rPr>
          <w:rFonts w:ascii="Times New Roman" w:hAnsi="Times New Roman" w:cs="Times New Roman"/>
          <w:sz w:val="20"/>
          <w:szCs w:val="20"/>
        </w:rPr>
        <w:t>=</w:t>
      </w:r>
      <w:r w:rsidRPr="00E46497">
        <w:rPr>
          <w:rFonts w:ascii="Times New Roman" w:hAnsi="Times New Roman" w:cs="Times New Roman"/>
          <w:sz w:val="20"/>
          <w:szCs w:val="20"/>
        </w:rPr>
        <w:t xml:space="preserve">0.0001] </w:t>
      </w:r>
      <w:proofErr w:type="spellStart"/>
      <w:proofErr w:type="gram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5-year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estimates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78.4% (73.8-83.0)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 xml:space="preserve">67.3% (62.4-72.2)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E46497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5-year</w:t>
      </w:r>
      <w:proofErr w:type="gram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local-regional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failure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distant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metastases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rates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9.9%/8.6%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 17.3%/11.7%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grade 3-4/5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adverse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events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82%/0.8% and 77%/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 xml:space="preserve">1.3%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respectively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distribution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grade 3-4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adverse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events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varied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anemia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hearing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loss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nausea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,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46497">
        <w:rPr>
          <w:rFonts w:ascii="Times New Roman" w:hAnsi="Times New Roman" w:cs="Times New Roman"/>
          <w:sz w:val="20"/>
          <w:szCs w:val="20"/>
        </w:rPr>
        <w:lastRenderedPageBreak/>
        <w:t>vomiting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neutropenia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kidney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injury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common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, and</w:t>
      </w:r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rash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common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Long-term severe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dysphagia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 xml:space="preserve">4%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arm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 6%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arm.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Extensive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measures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collected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separately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.</w:t>
      </w:r>
    </w:p>
    <w:p w:rsidR="00E46497" w:rsidRPr="00E46497" w:rsidRDefault="00E46497" w:rsidP="00E4649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D4A51">
        <w:rPr>
          <w:rFonts w:ascii="Times New Roman" w:hAnsi="Times New Roman" w:cs="Times New Roman"/>
          <w:b/>
          <w:sz w:val="20"/>
          <w:szCs w:val="20"/>
        </w:rPr>
        <w:t>Conclusion</w:t>
      </w:r>
      <w:proofErr w:type="spellEnd"/>
      <w:r w:rsidRPr="00FD4A51">
        <w:rPr>
          <w:rFonts w:ascii="Times New Roman" w:hAnsi="Times New Roman" w:cs="Times New Roman"/>
          <w:b/>
          <w:sz w:val="20"/>
          <w:szCs w:val="20"/>
        </w:rPr>
        <w:t>:</w:t>
      </w:r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study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failed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establish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non-inferiority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locoregionally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advanced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HPV-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oropharynx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cancer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cetuximab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resulted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inferior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overall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progression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-free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Radiation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concurrent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cisplatin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remains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FD4A51">
        <w:rPr>
          <w:rFonts w:ascii="Times New Roman" w:hAnsi="Times New Roman" w:cs="Times New Roman"/>
          <w:sz w:val="20"/>
          <w:szCs w:val="20"/>
        </w:rPr>
        <w:t xml:space="preserve"> </w:t>
      </w:r>
      <w:r w:rsidRPr="00E46497">
        <w:rPr>
          <w:rFonts w:ascii="Times New Roman" w:hAnsi="Times New Roman" w:cs="Times New Roman"/>
          <w:sz w:val="20"/>
          <w:szCs w:val="20"/>
        </w:rPr>
        <w:t xml:space="preserve">standard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 xml:space="preserve"> care in these </w:t>
      </w:r>
      <w:proofErr w:type="spellStart"/>
      <w:r w:rsidRPr="00E46497">
        <w:rPr>
          <w:rFonts w:ascii="Times New Roman" w:hAnsi="Times New Roman" w:cs="Times New Roman"/>
          <w:sz w:val="20"/>
          <w:szCs w:val="20"/>
        </w:rPr>
        <w:t>patients</w:t>
      </w:r>
      <w:proofErr w:type="spellEnd"/>
      <w:r w:rsidRPr="00E46497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E46497" w:rsidRPr="00E46497" w:rsidSect="001F11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D0"/>
    <w:rsid w:val="001800BA"/>
    <w:rsid w:val="0019661F"/>
    <w:rsid w:val="001F110E"/>
    <w:rsid w:val="00285298"/>
    <w:rsid w:val="00340FD0"/>
    <w:rsid w:val="00E46497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34E67DB-2865-4D06-88CB-48E63C45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Multiscan Multiscan</cp:lastModifiedBy>
  <cp:revision>5</cp:revision>
  <dcterms:created xsi:type="dcterms:W3CDTF">2018-11-08T13:29:00Z</dcterms:created>
  <dcterms:modified xsi:type="dcterms:W3CDTF">2018-11-20T09:45:00Z</dcterms:modified>
</cp:coreProperties>
</file>