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66E" w:rsidRDefault="001165B9" w:rsidP="009F13D1">
      <w:pPr>
        <w:spacing w:line="360" w:lineRule="auto"/>
        <w:rPr>
          <w:rFonts w:ascii="Times New Roman" w:hAnsi="Times New Roman" w:cs="Times New Roman"/>
          <w:b/>
          <w:szCs w:val="20"/>
        </w:rPr>
      </w:pPr>
      <w:proofErr w:type="spellStart"/>
      <w:r w:rsidRPr="001165B9">
        <w:rPr>
          <w:rFonts w:ascii="Times New Roman" w:hAnsi="Times New Roman" w:cs="Times New Roman"/>
          <w:b/>
          <w:szCs w:val="20"/>
        </w:rPr>
        <w:t>Stereotactic</w:t>
      </w:r>
      <w:proofErr w:type="spellEnd"/>
      <w:r w:rsidRPr="001165B9">
        <w:rPr>
          <w:rFonts w:ascii="Times New Roman" w:hAnsi="Times New Roman" w:cs="Times New Roman"/>
          <w:b/>
          <w:szCs w:val="20"/>
        </w:rPr>
        <w:t xml:space="preserve"> Ablative </w:t>
      </w:r>
      <w:proofErr w:type="spellStart"/>
      <w:r w:rsidRPr="001165B9">
        <w:rPr>
          <w:rFonts w:ascii="Times New Roman" w:hAnsi="Times New Roman" w:cs="Times New Roman"/>
          <w:b/>
          <w:szCs w:val="20"/>
        </w:rPr>
        <w:t>Radiation</w:t>
      </w:r>
      <w:proofErr w:type="spellEnd"/>
      <w:r w:rsidRPr="001165B9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1165B9">
        <w:rPr>
          <w:rFonts w:ascii="Times New Roman" w:hAnsi="Times New Roman" w:cs="Times New Roman"/>
          <w:b/>
          <w:szCs w:val="20"/>
        </w:rPr>
        <w:t>Therapy</w:t>
      </w:r>
      <w:proofErr w:type="spellEnd"/>
      <w:r w:rsidRPr="001165B9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1165B9">
        <w:rPr>
          <w:rFonts w:ascii="Times New Roman" w:hAnsi="Times New Roman" w:cs="Times New Roman"/>
          <w:b/>
          <w:szCs w:val="20"/>
        </w:rPr>
        <w:t>for</w:t>
      </w:r>
      <w:proofErr w:type="spellEnd"/>
      <w:r w:rsidRPr="001165B9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1165B9">
        <w:rPr>
          <w:rFonts w:ascii="Times New Roman" w:hAnsi="Times New Roman" w:cs="Times New Roman"/>
          <w:b/>
          <w:szCs w:val="20"/>
        </w:rPr>
        <w:t>the</w:t>
      </w:r>
      <w:proofErr w:type="spellEnd"/>
      <w:r w:rsidRPr="001165B9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1165B9">
        <w:rPr>
          <w:rFonts w:ascii="Times New Roman" w:hAnsi="Times New Roman" w:cs="Times New Roman"/>
          <w:b/>
          <w:szCs w:val="20"/>
        </w:rPr>
        <w:t>Comprehensive</w:t>
      </w:r>
      <w:proofErr w:type="spellEnd"/>
      <w:r w:rsidRPr="001165B9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1165B9">
        <w:rPr>
          <w:rFonts w:ascii="Times New Roman" w:hAnsi="Times New Roman" w:cs="Times New Roman"/>
          <w:b/>
          <w:szCs w:val="20"/>
        </w:rPr>
        <w:t>Treatment</w:t>
      </w:r>
      <w:proofErr w:type="spellEnd"/>
      <w:r w:rsidRPr="001165B9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1165B9">
        <w:rPr>
          <w:rFonts w:ascii="Times New Roman" w:hAnsi="Times New Roman" w:cs="Times New Roman"/>
          <w:b/>
          <w:szCs w:val="20"/>
        </w:rPr>
        <w:t>of</w:t>
      </w:r>
      <w:proofErr w:type="spellEnd"/>
      <w:r w:rsidRPr="001165B9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1165B9">
        <w:rPr>
          <w:rFonts w:ascii="Times New Roman" w:hAnsi="Times New Roman" w:cs="Times New Roman"/>
          <w:b/>
          <w:szCs w:val="20"/>
        </w:rPr>
        <w:t>Oligometastatic</w:t>
      </w:r>
      <w:proofErr w:type="spellEnd"/>
      <w:r w:rsidRPr="001165B9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1165B9">
        <w:rPr>
          <w:rFonts w:ascii="Times New Roman" w:hAnsi="Times New Roman" w:cs="Times New Roman"/>
          <w:b/>
          <w:szCs w:val="20"/>
        </w:rPr>
        <w:t>Tumors</w:t>
      </w:r>
      <w:proofErr w:type="spellEnd"/>
      <w:r w:rsidRPr="001165B9">
        <w:rPr>
          <w:rFonts w:ascii="Times New Roman" w:hAnsi="Times New Roman" w:cs="Times New Roman"/>
          <w:b/>
          <w:szCs w:val="20"/>
        </w:rPr>
        <w:t xml:space="preserve"> (SABR-COMET): Results </w:t>
      </w:r>
      <w:proofErr w:type="spellStart"/>
      <w:r w:rsidRPr="001165B9">
        <w:rPr>
          <w:rFonts w:ascii="Times New Roman" w:hAnsi="Times New Roman" w:cs="Times New Roman"/>
          <w:b/>
          <w:szCs w:val="20"/>
        </w:rPr>
        <w:t>of</w:t>
      </w:r>
      <w:proofErr w:type="spellEnd"/>
      <w:r w:rsidRPr="001165B9">
        <w:rPr>
          <w:rFonts w:ascii="Times New Roman" w:hAnsi="Times New Roman" w:cs="Times New Roman"/>
          <w:b/>
          <w:szCs w:val="20"/>
        </w:rPr>
        <w:t xml:space="preserve"> a </w:t>
      </w:r>
      <w:proofErr w:type="spellStart"/>
      <w:r w:rsidRPr="001165B9">
        <w:rPr>
          <w:rFonts w:ascii="Times New Roman" w:hAnsi="Times New Roman" w:cs="Times New Roman"/>
          <w:b/>
          <w:szCs w:val="20"/>
        </w:rPr>
        <w:t>Randomized</w:t>
      </w:r>
      <w:proofErr w:type="spellEnd"/>
      <w:r w:rsidRPr="001165B9">
        <w:rPr>
          <w:rFonts w:ascii="Times New Roman" w:hAnsi="Times New Roman" w:cs="Times New Roman"/>
          <w:b/>
          <w:szCs w:val="20"/>
        </w:rPr>
        <w:t xml:space="preserve"> Trial</w:t>
      </w:r>
    </w:p>
    <w:p w:rsidR="001165B9" w:rsidRPr="000E0DAF" w:rsidRDefault="001165B9" w:rsidP="009F13D1">
      <w:pPr>
        <w:spacing w:line="360" w:lineRule="auto"/>
        <w:rPr>
          <w:rFonts w:ascii="Times New Roman" w:hAnsi="Times New Roman" w:cs="Times New Roman"/>
          <w:b/>
          <w:szCs w:val="20"/>
        </w:rPr>
      </w:pPr>
    </w:p>
    <w:p w:rsidR="00195D5C" w:rsidRDefault="001165B9" w:rsidP="001165B9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gramStart"/>
      <w:r w:rsidRPr="001165B9">
        <w:rPr>
          <w:rFonts w:ascii="Times New Roman" w:hAnsi="Times New Roman" w:cs="Times New Roman"/>
          <w:sz w:val="20"/>
          <w:szCs w:val="20"/>
        </w:rPr>
        <w:t>D.A.</w:t>
      </w:r>
      <w:proofErr w:type="gramEnd"/>
      <w:r w:rsidRPr="001165B9">
        <w:rPr>
          <w:rFonts w:ascii="Times New Roman" w:hAnsi="Times New Roman" w:cs="Times New Roman"/>
          <w:sz w:val="20"/>
          <w:szCs w:val="20"/>
        </w:rPr>
        <w:t xml:space="preserve"> Palma,</w:t>
      </w:r>
      <w:r w:rsidRPr="00733C8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165B9">
        <w:rPr>
          <w:rFonts w:ascii="Times New Roman" w:hAnsi="Times New Roman" w:cs="Times New Roman"/>
          <w:sz w:val="20"/>
          <w:szCs w:val="20"/>
        </w:rPr>
        <w:t xml:space="preserve"> R.A. Olson,</w:t>
      </w:r>
      <w:r w:rsidRPr="00733C88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165B9">
        <w:rPr>
          <w:rFonts w:ascii="Times New Roman" w:hAnsi="Times New Roman" w:cs="Times New Roman"/>
          <w:sz w:val="20"/>
          <w:szCs w:val="20"/>
        </w:rPr>
        <w:t xml:space="preserve"> S. Harrow,</w:t>
      </w:r>
      <w:r w:rsidRPr="00733C8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1165B9">
        <w:rPr>
          <w:rFonts w:ascii="Times New Roman" w:hAnsi="Times New Roman" w:cs="Times New Roman"/>
          <w:sz w:val="20"/>
          <w:szCs w:val="20"/>
        </w:rPr>
        <w:t xml:space="preserve"> S. Gaede,</w:t>
      </w:r>
      <w:r w:rsidRPr="00733C8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165B9">
        <w:rPr>
          <w:rFonts w:ascii="Times New Roman" w:hAnsi="Times New Roman" w:cs="Times New Roman"/>
          <w:sz w:val="20"/>
          <w:szCs w:val="20"/>
        </w:rPr>
        <w:t xml:space="preserve"> A.V. Louie,</w:t>
      </w:r>
      <w:r w:rsidRPr="00733C8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165B9">
        <w:rPr>
          <w:rFonts w:ascii="Times New Roman" w:hAnsi="Times New Roman" w:cs="Times New Roman"/>
          <w:sz w:val="20"/>
          <w:szCs w:val="20"/>
        </w:rPr>
        <w:t>C. Haasbeek,</w:t>
      </w:r>
      <w:r w:rsidRPr="00733C88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165B9">
        <w:rPr>
          <w:rFonts w:ascii="Times New Roman" w:hAnsi="Times New Roman" w:cs="Times New Roman"/>
          <w:sz w:val="20"/>
          <w:szCs w:val="20"/>
        </w:rPr>
        <w:t>L.A.</w:t>
      </w:r>
      <w:proofErr w:type="gramEnd"/>
      <w:r w:rsidRPr="001165B9">
        <w:rPr>
          <w:rFonts w:ascii="Times New Roman" w:hAnsi="Times New Roman" w:cs="Times New Roman"/>
          <w:sz w:val="20"/>
          <w:szCs w:val="20"/>
        </w:rPr>
        <w:t xml:space="preserve"> Mulroy,</w:t>
      </w:r>
      <w:r w:rsidRPr="00733C88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 w:rsidRPr="001165B9">
        <w:rPr>
          <w:rFonts w:ascii="Times New Roman" w:hAnsi="Times New Roman" w:cs="Times New Roman"/>
          <w:sz w:val="20"/>
          <w:szCs w:val="20"/>
        </w:rPr>
        <w:t xml:space="preserve"> M.I. </w:t>
      </w:r>
      <w:proofErr w:type="gramStart"/>
      <w:r w:rsidRPr="001165B9">
        <w:rPr>
          <w:rFonts w:ascii="Times New Roman" w:hAnsi="Times New Roman" w:cs="Times New Roman"/>
          <w:sz w:val="20"/>
          <w:szCs w:val="20"/>
        </w:rPr>
        <w:t>Lock,</w:t>
      </w:r>
      <w:r w:rsidRPr="00733C8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165B9">
        <w:rPr>
          <w:rFonts w:ascii="Times New Roman" w:hAnsi="Times New Roman" w:cs="Times New Roman"/>
          <w:sz w:val="20"/>
          <w:szCs w:val="20"/>
        </w:rPr>
        <w:t xml:space="preserve"> G.</w:t>
      </w:r>
      <w:proofErr w:type="gramEnd"/>
      <w:r w:rsidRPr="001165B9">
        <w:rPr>
          <w:rFonts w:ascii="Times New Roman" w:hAnsi="Times New Roman" w:cs="Times New Roman"/>
          <w:sz w:val="20"/>
          <w:szCs w:val="20"/>
        </w:rPr>
        <w:t xml:space="preserve"> Rodrigues,</w:t>
      </w:r>
      <w:r w:rsidRPr="00733C8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165B9">
        <w:rPr>
          <w:rFonts w:ascii="Times New Roman" w:hAnsi="Times New Roman" w:cs="Times New Roman"/>
          <w:sz w:val="20"/>
          <w:szCs w:val="20"/>
        </w:rPr>
        <w:t xml:space="preserve"> B.P. Yaremko,</w:t>
      </w:r>
      <w:r w:rsidRPr="00733C8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165B9">
        <w:rPr>
          <w:rFonts w:ascii="Times New Roman" w:hAnsi="Times New Roman" w:cs="Times New Roman"/>
          <w:sz w:val="20"/>
          <w:szCs w:val="20"/>
        </w:rPr>
        <w:t>D. Schellenberg,</w:t>
      </w:r>
      <w:r w:rsidRPr="00733C88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1165B9">
        <w:rPr>
          <w:rFonts w:ascii="Times New Roman" w:hAnsi="Times New Roman" w:cs="Times New Roman"/>
          <w:sz w:val="20"/>
          <w:szCs w:val="20"/>
        </w:rPr>
        <w:t xml:space="preserve"> B. Ahmad,</w:t>
      </w:r>
      <w:r w:rsidRPr="00733C8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165B9">
        <w:rPr>
          <w:rFonts w:ascii="Times New Roman" w:hAnsi="Times New Roman" w:cs="Times New Roman"/>
          <w:sz w:val="20"/>
          <w:szCs w:val="20"/>
        </w:rPr>
        <w:t xml:space="preserve"> G. Griffioen,</w:t>
      </w:r>
      <w:r w:rsidRPr="00733C88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1165B9">
        <w:rPr>
          <w:rFonts w:ascii="Times New Roman" w:hAnsi="Times New Roman" w:cs="Times New Roman"/>
          <w:sz w:val="20"/>
          <w:szCs w:val="20"/>
        </w:rPr>
        <w:t xml:space="preserve"> S. Senthi,</w:t>
      </w:r>
      <w:r w:rsidRPr="00733C88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165B9">
        <w:rPr>
          <w:rFonts w:ascii="Times New Roman" w:hAnsi="Times New Roman" w:cs="Times New Roman"/>
          <w:sz w:val="20"/>
          <w:szCs w:val="20"/>
        </w:rPr>
        <w:t>M.C.</w:t>
      </w:r>
      <w:proofErr w:type="gramEnd"/>
      <w:r w:rsidRPr="001165B9">
        <w:rPr>
          <w:rFonts w:ascii="Times New Roman" w:hAnsi="Times New Roman" w:cs="Times New Roman"/>
          <w:sz w:val="20"/>
          <w:szCs w:val="20"/>
        </w:rPr>
        <w:t xml:space="preserve"> Liu,</w:t>
      </w:r>
      <w:r w:rsidRPr="00733C88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="00733C88">
        <w:rPr>
          <w:rFonts w:ascii="Times New Roman" w:hAnsi="Times New Roman" w:cs="Times New Roman"/>
          <w:sz w:val="20"/>
          <w:szCs w:val="20"/>
          <w:vertAlign w:val="superscript"/>
        </w:rPr>
        <w:t xml:space="preserve"> </w:t>
      </w:r>
      <w:r w:rsidRPr="001165B9">
        <w:rPr>
          <w:rFonts w:ascii="Times New Roman" w:hAnsi="Times New Roman" w:cs="Times New Roman"/>
          <w:sz w:val="20"/>
          <w:szCs w:val="20"/>
        </w:rPr>
        <w:t>K. Moore,3 S. Currie,</w:t>
      </w:r>
      <w:r w:rsidRPr="00733C88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1165B9">
        <w:rPr>
          <w:rFonts w:ascii="Times New Roman" w:hAnsi="Times New Roman" w:cs="Times New Roman"/>
          <w:sz w:val="20"/>
          <w:szCs w:val="20"/>
        </w:rPr>
        <w:t xml:space="preserve"> G.S. </w:t>
      </w:r>
      <w:proofErr w:type="gramStart"/>
      <w:r w:rsidRPr="001165B9">
        <w:rPr>
          <w:rFonts w:ascii="Times New Roman" w:hAnsi="Times New Roman" w:cs="Times New Roman"/>
          <w:sz w:val="20"/>
          <w:szCs w:val="20"/>
        </w:rPr>
        <w:t>Bauman,</w:t>
      </w:r>
      <w:r w:rsidRPr="00733C8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165B9">
        <w:rPr>
          <w:rFonts w:ascii="Times New Roman" w:hAnsi="Times New Roman" w:cs="Times New Roman"/>
          <w:sz w:val="20"/>
          <w:szCs w:val="20"/>
        </w:rPr>
        <w:t xml:space="preserve"> A.</w:t>
      </w:r>
      <w:proofErr w:type="gramEnd"/>
      <w:r w:rsidRPr="001165B9">
        <w:rPr>
          <w:rFonts w:ascii="Times New Roman" w:hAnsi="Times New Roman" w:cs="Times New Roman"/>
          <w:sz w:val="20"/>
          <w:szCs w:val="20"/>
        </w:rPr>
        <w:t xml:space="preserve"> Warner,</w:t>
      </w:r>
      <w:r w:rsidRPr="00733C88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165B9">
        <w:rPr>
          <w:rFonts w:ascii="Times New Roman" w:hAnsi="Times New Roman" w:cs="Times New Roman"/>
          <w:sz w:val="20"/>
          <w:szCs w:val="20"/>
        </w:rPr>
        <w:t xml:space="preserve"> and S. Senan</w:t>
      </w:r>
      <w:r w:rsidRPr="00733C88">
        <w:rPr>
          <w:rFonts w:ascii="Times New Roman" w:hAnsi="Times New Roman" w:cs="Times New Roman"/>
          <w:sz w:val="20"/>
          <w:szCs w:val="20"/>
          <w:vertAlign w:val="superscript"/>
        </w:rPr>
        <w:t>4</w:t>
      </w:r>
      <w:r w:rsidRPr="001165B9">
        <w:rPr>
          <w:rFonts w:ascii="Times New Roman" w:hAnsi="Times New Roman" w:cs="Times New Roman"/>
          <w:sz w:val="20"/>
          <w:szCs w:val="20"/>
        </w:rPr>
        <w:t>;</w:t>
      </w:r>
    </w:p>
    <w:p w:rsidR="001165B9" w:rsidRDefault="001165B9" w:rsidP="001165B9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165B9" w:rsidRPr="001165B9" w:rsidRDefault="001165B9" w:rsidP="001165B9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B23696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1165B9">
        <w:rPr>
          <w:rFonts w:ascii="Times New Roman" w:hAnsi="Times New Roman" w:cs="Times New Roman"/>
          <w:i/>
          <w:sz w:val="20"/>
          <w:szCs w:val="20"/>
        </w:rPr>
        <w:t>London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65B9">
        <w:rPr>
          <w:rFonts w:ascii="Times New Roman" w:hAnsi="Times New Roman" w:cs="Times New Roman"/>
          <w:i/>
          <w:sz w:val="20"/>
          <w:szCs w:val="20"/>
        </w:rPr>
        <w:t>Health</w:t>
      </w:r>
      <w:proofErr w:type="spellEnd"/>
      <w:r w:rsidRPr="001165B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65B9">
        <w:rPr>
          <w:rFonts w:ascii="Times New Roman" w:hAnsi="Times New Roman" w:cs="Times New Roman"/>
          <w:i/>
          <w:sz w:val="20"/>
          <w:szCs w:val="20"/>
        </w:rPr>
        <w:t>Sciences</w:t>
      </w:r>
      <w:proofErr w:type="spellEnd"/>
      <w:r w:rsidRPr="001165B9">
        <w:rPr>
          <w:rFonts w:ascii="Times New Roman" w:hAnsi="Times New Roman" w:cs="Times New Roman"/>
          <w:i/>
          <w:sz w:val="20"/>
          <w:szCs w:val="20"/>
        </w:rPr>
        <w:t xml:space="preserve"> Centre, London, ON, </w:t>
      </w:r>
      <w:proofErr w:type="spellStart"/>
      <w:r w:rsidRPr="001165B9">
        <w:rPr>
          <w:rFonts w:ascii="Times New Roman" w:hAnsi="Times New Roman" w:cs="Times New Roman"/>
          <w:i/>
          <w:sz w:val="20"/>
          <w:szCs w:val="20"/>
        </w:rPr>
        <w:t>Canada</w:t>
      </w:r>
      <w:proofErr w:type="spellEnd"/>
      <w:r w:rsidRPr="001165B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23696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1165B9">
        <w:rPr>
          <w:rFonts w:ascii="Times New Roman" w:hAnsi="Times New Roman" w:cs="Times New Roman"/>
          <w:i/>
          <w:sz w:val="20"/>
          <w:szCs w:val="20"/>
        </w:rPr>
        <w:t xml:space="preserve">University </w:t>
      </w:r>
      <w:proofErr w:type="spellStart"/>
      <w:r w:rsidRPr="001165B9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1165B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65B9">
        <w:rPr>
          <w:rFonts w:ascii="Times New Roman" w:hAnsi="Times New Roman" w:cs="Times New Roman"/>
          <w:i/>
          <w:sz w:val="20"/>
          <w:szCs w:val="20"/>
        </w:rPr>
        <w:t>British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65B9">
        <w:rPr>
          <w:rFonts w:ascii="Times New Roman" w:hAnsi="Times New Roman" w:cs="Times New Roman"/>
          <w:i/>
          <w:sz w:val="20"/>
          <w:szCs w:val="20"/>
        </w:rPr>
        <w:t xml:space="preserve">Columbia, Vancouver, BC, </w:t>
      </w:r>
      <w:proofErr w:type="spellStart"/>
      <w:r w:rsidRPr="001165B9">
        <w:rPr>
          <w:rFonts w:ascii="Times New Roman" w:hAnsi="Times New Roman" w:cs="Times New Roman"/>
          <w:i/>
          <w:sz w:val="20"/>
          <w:szCs w:val="20"/>
        </w:rPr>
        <w:t>Canada</w:t>
      </w:r>
      <w:proofErr w:type="spellEnd"/>
      <w:r w:rsidRPr="001165B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23696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1165B9">
        <w:rPr>
          <w:rFonts w:ascii="Times New Roman" w:hAnsi="Times New Roman" w:cs="Times New Roman"/>
          <w:i/>
          <w:sz w:val="20"/>
          <w:szCs w:val="20"/>
        </w:rPr>
        <w:t xml:space="preserve">Beatson </w:t>
      </w:r>
      <w:proofErr w:type="spellStart"/>
      <w:r w:rsidRPr="001165B9">
        <w:rPr>
          <w:rFonts w:ascii="Times New Roman" w:hAnsi="Times New Roman" w:cs="Times New Roman"/>
          <w:i/>
          <w:sz w:val="20"/>
          <w:szCs w:val="20"/>
        </w:rPr>
        <w:t>West</w:t>
      </w:r>
      <w:proofErr w:type="spellEnd"/>
      <w:r w:rsidRPr="001165B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65B9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1165B9">
        <w:rPr>
          <w:rFonts w:ascii="Times New Roman" w:hAnsi="Times New Roman" w:cs="Times New Roman"/>
          <w:i/>
          <w:sz w:val="20"/>
          <w:szCs w:val="20"/>
        </w:rPr>
        <w:t xml:space="preserve"> Scotland </w:t>
      </w:r>
      <w:proofErr w:type="spellStart"/>
      <w:r w:rsidRPr="001165B9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65B9">
        <w:rPr>
          <w:rFonts w:ascii="Times New Roman" w:hAnsi="Times New Roman" w:cs="Times New Roman"/>
          <w:i/>
          <w:sz w:val="20"/>
          <w:szCs w:val="20"/>
        </w:rPr>
        <w:t xml:space="preserve">Centre, Glasgow, United </w:t>
      </w:r>
      <w:proofErr w:type="spellStart"/>
      <w:r w:rsidRPr="001165B9">
        <w:rPr>
          <w:rFonts w:ascii="Times New Roman" w:hAnsi="Times New Roman" w:cs="Times New Roman"/>
          <w:i/>
          <w:sz w:val="20"/>
          <w:szCs w:val="20"/>
        </w:rPr>
        <w:t>Kingdom</w:t>
      </w:r>
      <w:proofErr w:type="spellEnd"/>
      <w:r w:rsidRPr="001165B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23696">
        <w:rPr>
          <w:rFonts w:ascii="Times New Roman" w:hAnsi="Times New Roman" w:cs="Times New Roman"/>
          <w:i/>
          <w:sz w:val="20"/>
          <w:szCs w:val="20"/>
          <w:vertAlign w:val="superscript"/>
        </w:rPr>
        <w:t>4</w:t>
      </w:r>
      <w:r w:rsidRPr="001165B9">
        <w:rPr>
          <w:rFonts w:ascii="Times New Roman" w:hAnsi="Times New Roman" w:cs="Times New Roman"/>
          <w:i/>
          <w:sz w:val="20"/>
          <w:szCs w:val="20"/>
        </w:rPr>
        <w:t xml:space="preserve">VU University </w:t>
      </w:r>
      <w:proofErr w:type="spellStart"/>
      <w:r w:rsidRPr="001165B9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1165B9">
        <w:rPr>
          <w:rFonts w:ascii="Times New Roman" w:hAnsi="Times New Roman" w:cs="Times New Roman"/>
          <w:i/>
          <w:sz w:val="20"/>
          <w:szCs w:val="20"/>
        </w:rPr>
        <w:t xml:space="preserve"> Center,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65B9">
        <w:rPr>
          <w:rFonts w:ascii="Times New Roman" w:hAnsi="Times New Roman" w:cs="Times New Roman"/>
          <w:i/>
          <w:sz w:val="20"/>
          <w:szCs w:val="20"/>
        </w:rPr>
        <w:t xml:space="preserve">Amsterdam, </w:t>
      </w:r>
      <w:proofErr w:type="spellStart"/>
      <w:r w:rsidRPr="001165B9">
        <w:rPr>
          <w:rFonts w:ascii="Times New Roman" w:hAnsi="Times New Roman" w:cs="Times New Roman"/>
          <w:i/>
          <w:sz w:val="20"/>
          <w:szCs w:val="20"/>
        </w:rPr>
        <w:t>Netherlands</w:t>
      </w:r>
      <w:proofErr w:type="spellEnd"/>
      <w:r w:rsidRPr="001165B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23696">
        <w:rPr>
          <w:rFonts w:ascii="Times New Roman" w:hAnsi="Times New Roman" w:cs="Times New Roman"/>
          <w:i/>
          <w:sz w:val="20"/>
          <w:szCs w:val="20"/>
          <w:vertAlign w:val="superscript"/>
        </w:rPr>
        <w:t>5</w:t>
      </w:r>
      <w:r w:rsidRPr="001165B9">
        <w:rPr>
          <w:rFonts w:ascii="Times New Roman" w:hAnsi="Times New Roman" w:cs="Times New Roman"/>
          <w:i/>
          <w:sz w:val="20"/>
          <w:szCs w:val="20"/>
        </w:rPr>
        <w:t xml:space="preserve">Nova </w:t>
      </w:r>
      <w:proofErr w:type="spellStart"/>
      <w:r w:rsidRPr="001165B9">
        <w:rPr>
          <w:rFonts w:ascii="Times New Roman" w:hAnsi="Times New Roman" w:cs="Times New Roman"/>
          <w:i/>
          <w:sz w:val="20"/>
          <w:szCs w:val="20"/>
        </w:rPr>
        <w:t>Scotia</w:t>
      </w:r>
      <w:proofErr w:type="spellEnd"/>
      <w:r w:rsidRPr="001165B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65B9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1165B9">
        <w:rPr>
          <w:rFonts w:ascii="Times New Roman" w:hAnsi="Times New Roman" w:cs="Times New Roman"/>
          <w:i/>
          <w:sz w:val="20"/>
          <w:szCs w:val="20"/>
        </w:rPr>
        <w:t xml:space="preserve"> Centre, Halifax, NS,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65B9">
        <w:rPr>
          <w:rFonts w:ascii="Times New Roman" w:hAnsi="Times New Roman" w:cs="Times New Roman"/>
          <w:i/>
          <w:sz w:val="20"/>
          <w:szCs w:val="20"/>
        </w:rPr>
        <w:t>Canada</w:t>
      </w:r>
      <w:proofErr w:type="spellEnd"/>
      <w:r w:rsidRPr="001165B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23696">
        <w:rPr>
          <w:rFonts w:ascii="Times New Roman" w:hAnsi="Times New Roman" w:cs="Times New Roman"/>
          <w:i/>
          <w:sz w:val="20"/>
          <w:szCs w:val="20"/>
          <w:vertAlign w:val="superscript"/>
        </w:rPr>
        <w:t>6</w:t>
      </w:r>
    </w:p>
    <w:p w:rsidR="001165B9" w:rsidRPr="001165B9" w:rsidRDefault="001165B9" w:rsidP="001165B9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1165B9">
        <w:rPr>
          <w:rFonts w:ascii="Times New Roman" w:hAnsi="Times New Roman" w:cs="Times New Roman"/>
          <w:i/>
          <w:sz w:val="20"/>
          <w:szCs w:val="20"/>
        </w:rPr>
        <w:t xml:space="preserve">BC </w:t>
      </w:r>
      <w:proofErr w:type="spellStart"/>
      <w:r w:rsidRPr="001165B9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1165B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65B9">
        <w:rPr>
          <w:rFonts w:ascii="Times New Roman" w:hAnsi="Times New Roman" w:cs="Times New Roman"/>
          <w:i/>
          <w:sz w:val="20"/>
          <w:szCs w:val="20"/>
        </w:rPr>
        <w:t>Agency</w:t>
      </w:r>
      <w:proofErr w:type="spellEnd"/>
      <w:r w:rsidRPr="001165B9">
        <w:rPr>
          <w:rFonts w:ascii="Times New Roman" w:hAnsi="Times New Roman" w:cs="Times New Roman"/>
          <w:i/>
          <w:sz w:val="20"/>
          <w:szCs w:val="20"/>
        </w:rPr>
        <w:t xml:space="preserve">, Vancouver, BC, </w:t>
      </w:r>
      <w:proofErr w:type="spellStart"/>
      <w:r w:rsidRPr="001165B9">
        <w:rPr>
          <w:rFonts w:ascii="Times New Roman" w:hAnsi="Times New Roman" w:cs="Times New Roman"/>
          <w:i/>
          <w:sz w:val="20"/>
          <w:szCs w:val="20"/>
        </w:rPr>
        <w:t>Canada</w:t>
      </w:r>
      <w:proofErr w:type="spellEnd"/>
      <w:r w:rsidRPr="001165B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23696">
        <w:rPr>
          <w:rFonts w:ascii="Times New Roman" w:hAnsi="Times New Roman" w:cs="Times New Roman"/>
          <w:i/>
          <w:sz w:val="20"/>
          <w:szCs w:val="20"/>
          <w:vertAlign w:val="superscript"/>
        </w:rPr>
        <w:t>7</w:t>
      </w:r>
      <w:r w:rsidRPr="001165B9">
        <w:rPr>
          <w:rFonts w:ascii="Times New Roman" w:hAnsi="Times New Roman" w:cs="Times New Roman"/>
          <w:i/>
          <w:sz w:val="20"/>
          <w:szCs w:val="20"/>
        </w:rPr>
        <w:t xml:space="preserve">VU </w:t>
      </w:r>
      <w:proofErr w:type="spellStart"/>
      <w:r w:rsidRPr="001165B9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165B9">
        <w:rPr>
          <w:rFonts w:ascii="Times New Roman" w:hAnsi="Times New Roman" w:cs="Times New Roman"/>
          <w:i/>
          <w:sz w:val="20"/>
          <w:szCs w:val="20"/>
        </w:rPr>
        <w:t xml:space="preserve">Center, Amsterdam, </w:t>
      </w:r>
      <w:proofErr w:type="spellStart"/>
      <w:r w:rsidRPr="001165B9">
        <w:rPr>
          <w:rFonts w:ascii="Times New Roman" w:hAnsi="Times New Roman" w:cs="Times New Roman"/>
          <w:i/>
          <w:sz w:val="20"/>
          <w:szCs w:val="20"/>
        </w:rPr>
        <w:t>Netherlands</w:t>
      </w:r>
      <w:proofErr w:type="spellEnd"/>
      <w:r w:rsidRPr="001165B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23696">
        <w:rPr>
          <w:rFonts w:ascii="Times New Roman" w:hAnsi="Times New Roman" w:cs="Times New Roman"/>
          <w:i/>
          <w:sz w:val="20"/>
          <w:szCs w:val="20"/>
          <w:vertAlign w:val="superscript"/>
        </w:rPr>
        <w:t>8</w:t>
      </w:r>
    </w:p>
    <w:p w:rsidR="00267408" w:rsidRDefault="001165B9" w:rsidP="001165B9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1165B9">
        <w:rPr>
          <w:rFonts w:ascii="Times New Roman" w:hAnsi="Times New Roman" w:cs="Times New Roman"/>
          <w:i/>
          <w:sz w:val="20"/>
          <w:szCs w:val="20"/>
        </w:rPr>
        <w:t xml:space="preserve">Alfred </w:t>
      </w:r>
      <w:proofErr w:type="spellStart"/>
      <w:r w:rsidRPr="001165B9">
        <w:rPr>
          <w:rFonts w:ascii="Times New Roman" w:hAnsi="Times New Roman" w:cs="Times New Roman"/>
          <w:i/>
          <w:sz w:val="20"/>
          <w:szCs w:val="20"/>
        </w:rPr>
        <w:t>Health</w:t>
      </w:r>
      <w:proofErr w:type="spellEnd"/>
      <w:r w:rsidRPr="001165B9">
        <w:rPr>
          <w:rFonts w:ascii="Times New Roman" w:hAnsi="Times New Roman" w:cs="Times New Roman"/>
          <w:i/>
          <w:sz w:val="20"/>
          <w:szCs w:val="20"/>
        </w:rPr>
        <w:t xml:space="preserve">, Melbourne, </w:t>
      </w:r>
      <w:proofErr w:type="spellStart"/>
      <w:r w:rsidRPr="001165B9">
        <w:rPr>
          <w:rFonts w:ascii="Times New Roman" w:hAnsi="Times New Roman" w:cs="Times New Roman"/>
          <w:i/>
          <w:sz w:val="20"/>
          <w:szCs w:val="20"/>
        </w:rPr>
        <w:t>Australia</w:t>
      </w:r>
      <w:proofErr w:type="spellEnd"/>
      <w:r w:rsidRPr="001165B9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B23696">
        <w:rPr>
          <w:rFonts w:ascii="Times New Roman" w:hAnsi="Times New Roman" w:cs="Times New Roman"/>
          <w:i/>
          <w:sz w:val="20"/>
          <w:szCs w:val="20"/>
          <w:vertAlign w:val="superscript"/>
        </w:rPr>
        <w:t>9</w:t>
      </w:r>
      <w:r w:rsidRPr="001165B9">
        <w:rPr>
          <w:rFonts w:ascii="Times New Roman" w:hAnsi="Times New Roman" w:cs="Times New Roman"/>
          <w:i/>
          <w:sz w:val="20"/>
          <w:szCs w:val="20"/>
        </w:rPr>
        <w:t xml:space="preserve">British Columbia </w:t>
      </w:r>
      <w:proofErr w:type="spellStart"/>
      <w:r w:rsidRPr="001165B9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1165B9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165B9">
        <w:rPr>
          <w:rFonts w:ascii="Times New Roman" w:hAnsi="Times New Roman" w:cs="Times New Roman"/>
          <w:i/>
          <w:sz w:val="20"/>
          <w:szCs w:val="20"/>
        </w:rPr>
        <w:t>Agency</w:t>
      </w:r>
      <w:proofErr w:type="spellEnd"/>
      <w:r w:rsidRPr="001165B9">
        <w:rPr>
          <w:rFonts w:ascii="Times New Roman" w:hAnsi="Times New Roman" w:cs="Times New Roman"/>
          <w:i/>
          <w:sz w:val="20"/>
          <w:szCs w:val="20"/>
        </w:rPr>
        <w:t xml:space="preserve">, Vancouver, BC, </w:t>
      </w:r>
      <w:proofErr w:type="spellStart"/>
      <w:r w:rsidRPr="001165B9">
        <w:rPr>
          <w:rFonts w:ascii="Times New Roman" w:hAnsi="Times New Roman" w:cs="Times New Roman"/>
          <w:i/>
          <w:sz w:val="20"/>
          <w:szCs w:val="20"/>
        </w:rPr>
        <w:t>Canada</w:t>
      </w:r>
      <w:proofErr w:type="spellEnd"/>
    </w:p>
    <w:p w:rsidR="001165B9" w:rsidRPr="001165B9" w:rsidRDefault="001165B9" w:rsidP="001165B9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195D5C" w:rsidRPr="00195D5C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95D5C">
        <w:rPr>
          <w:rFonts w:ascii="Times New Roman" w:hAnsi="Times New Roman" w:cs="Times New Roman"/>
          <w:b/>
          <w:sz w:val="20"/>
          <w:szCs w:val="20"/>
        </w:rPr>
        <w:t>Purpose</w:t>
      </w:r>
      <w:proofErr w:type="spellEnd"/>
      <w:r w:rsidRPr="00195D5C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195D5C">
        <w:rPr>
          <w:rFonts w:ascii="Times New Roman" w:hAnsi="Times New Roman" w:cs="Times New Roman"/>
          <w:b/>
          <w:sz w:val="20"/>
          <w:szCs w:val="20"/>
        </w:rPr>
        <w:t>Objective</w:t>
      </w:r>
      <w:proofErr w:type="spellEnd"/>
      <w:r w:rsidRPr="00195D5C">
        <w:rPr>
          <w:rFonts w:ascii="Times New Roman" w:hAnsi="Times New Roman" w:cs="Times New Roman"/>
          <w:b/>
          <w:sz w:val="20"/>
          <w:szCs w:val="20"/>
        </w:rPr>
        <w:t>(s):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oligometastatic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paradigm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suggests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that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a limited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metastases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may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curable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if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sites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are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eradicated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ablative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therapies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, such as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However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randomized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evidence in support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paradigm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lacking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assessed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impact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delivering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stereotactic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ablative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radiotherapy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(SABR) on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oncologic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outcomes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, toxicity, and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quality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life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(QOL) in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controlled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tumor and up to five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oligometastatic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lesions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>.</w:t>
      </w:r>
    </w:p>
    <w:p w:rsidR="00397807" w:rsidRDefault="00195D5C" w:rsidP="00195D5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95D5C">
        <w:rPr>
          <w:rFonts w:ascii="Times New Roman" w:hAnsi="Times New Roman" w:cs="Times New Roman"/>
          <w:b/>
          <w:sz w:val="20"/>
          <w:szCs w:val="20"/>
        </w:rPr>
        <w:t>Materials</w:t>
      </w:r>
      <w:proofErr w:type="spellEnd"/>
      <w:r w:rsidRPr="00195D5C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195D5C">
        <w:rPr>
          <w:rFonts w:ascii="Times New Roman" w:hAnsi="Times New Roman" w:cs="Times New Roman"/>
          <w:b/>
          <w:sz w:val="20"/>
          <w:szCs w:val="20"/>
        </w:rPr>
        <w:t>Methods</w:t>
      </w:r>
      <w:proofErr w:type="spellEnd"/>
      <w:r w:rsidRPr="00195D5C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enrolled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had a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controlled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malignancy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1-5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metastatic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lesions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which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amenable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to SABR,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good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performance status (ECOG 0-1) and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life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expectancy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&gt;6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stratified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number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metastases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(1-3 vs. 4-5)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then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randomized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in a 1:2 ratio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palliative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standard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care (SOC)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treatments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[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1] vs. SOC plus SABR to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metastatic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lesions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[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2].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endpoint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(OS). A </w:t>
      </w:r>
      <w:proofErr w:type="spellStart"/>
      <w:r w:rsidR="00B23696">
        <w:rPr>
          <w:rFonts w:ascii="Times New Roman" w:hAnsi="Times New Roman" w:cs="Times New Roman"/>
          <w:sz w:val="20"/>
          <w:szCs w:val="20"/>
        </w:rPr>
        <w:t>r</w:t>
      </w:r>
      <w:bookmarkStart w:id="0" w:name="_GoBack"/>
      <w:bookmarkEnd w:id="0"/>
      <w:r w:rsidR="001165B9" w:rsidRPr="001165B9">
        <w:rPr>
          <w:rFonts w:ascii="Times New Roman" w:hAnsi="Times New Roman" w:cs="Times New Roman"/>
          <w:sz w:val="20"/>
          <w:szCs w:val="20"/>
        </w:rPr>
        <w:t>andomized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phase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II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screening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design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employed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a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two-sided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alpha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0.20 (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wherein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a p-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value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&lt;0.20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designates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a positive trial) to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provide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initial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comparison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these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two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strategies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. OS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stratified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log-rank test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on Kaplan-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Meier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(KM)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estimates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Secondary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endpoints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progression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-free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(PFS), toxicity, and QOL (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assessed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using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FACT-G).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analyses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herein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pre-specified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intention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>-to-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treat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>.</w:t>
      </w:r>
    </w:p>
    <w:p w:rsidR="00195D5C" w:rsidRPr="00195D5C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97807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  <w:r w:rsidRPr="00397807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February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2012 and August 2016, 99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randomized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(33 in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1, 66 in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2)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centers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Canada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, Scotland,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Netherlands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, and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Australia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68 (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range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43-89) and 59%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male.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most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common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tumor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types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breast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(n=18),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lung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(n=18),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colorectal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(n=18) and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prostate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(n=16). Most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(n=92) had 1-3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metastases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differences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baseline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factors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arms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-up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27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OS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28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1 (95% CI 19-33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) vs. 41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2 (95% CI: 26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to ‘not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reached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’;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stratified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log-rank p=0.09).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PFS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6.0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1 (95% CI: 3.4-7.1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) vs. 12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2 (95% CI: 6.9-30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; p=0.001). Grade ≥2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adverse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events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related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occurred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in 9% in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1 and 30% in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2 (p=0.022).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most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common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grade ≥2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toxicities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SABR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fatigue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(n=10),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dyspnea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(n=9),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muscle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and joint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pain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(n=7), bone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pain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(n=6)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pain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otherwise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specified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(n=7).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3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treatment-related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grade 5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events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2,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lastRenderedPageBreak/>
        <w:t>due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deaths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pneumonitis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(n=1),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pulmonary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abscess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(n=1), and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subdural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hemorrhage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surgery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repair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a SABR-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related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perforated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gastric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ulcer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(n=1).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There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no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differences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mean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FACT-G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scores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at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6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(82.5 in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1 vs. 82.6 in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Arm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2; p=0.992),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physical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social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functional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emotional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QOL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subscales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p&gt;0.4).</w:t>
      </w:r>
    </w:p>
    <w:p w:rsidR="00815153" w:rsidRDefault="00195D5C" w:rsidP="0026185F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95D5C">
        <w:rPr>
          <w:rFonts w:ascii="Times New Roman" w:hAnsi="Times New Roman" w:cs="Times New Roman"/>
          <w:b/>
          <w:sz w:val="20"/>
          <w:szCs w:val="20"/>
        </w:rPr>
        <w:t>Conclusion</w:t>
      </w:r>
      <w:proofErr w:type="spellEnd"/>
      <w:r w:rsidRPr="00195D5C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r w:rsidR="001165B9" w:rsidRPr="001165B9">
        <w:rPr>
          <w:rFonts w:ascii="Times New Roman" w:hAnsi="Times New Roman" w:cs="Times New Roman"/>
          <w:sz w:val="20"/>
          <w:szCs w:val="20"/>
        </w:rPr>
        <w:t xml:space="preserve">SABR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associated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an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improvement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in OS, meeting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endpoint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trial, and PFS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doubled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. Grade ≥2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toxicities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more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common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SABR, but no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differences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1165B9" w:rsidRPr="001165B9">
        <w:rPr>
          <w:rFonts w:ascii="Times New Roman" w:hAnsi="Times New Roman" w:cs="Times New Roman"/>
          <w:sz w:val="20"/>
          <w:szCs w:val="20"/>
        </w:rPr>
        <w:t>seen</w:t>
      </w:r>
      <w:proofErr w:type="spellEnd"/>
      <w:r w:rsidR="001165B9" w:rsidRPr="001165B9">
        <w:rPr>
          <w:rFonts w:ascii="Times New Roman" w:hAnsi="Times New Roman" w:cs="Times New Roman"/>
          <w:sz w:val="20"/>
          <w:szCs w:val="20"/>
        </w:rPr>
        <w:t xml:space="preserve"> in QOL. (NCT01446744).</w:t>
      </w:r>
    </w:p>
    <w:sectPr w:rsidR="00815153" w:rsidSect="001F11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46"/>
    <w:rsid w:val="000756B5"/>
    <w:rsid w:val="00081DEE"/>
    <w:rsid w:val="001165B9"/>
    <w:rsid w:val="00195D5C"/>
    <w:rsid w:val="0026185F"/>
    <w:rsid w:val="00267408"/>
    <w:rsid w:val="00365446"/>
    <w:rsid w:val="00397807"/>
    <w:rsid w:val="004668FA"/>
    <w:rsid w:val="00733C88"/>
    <w:rsid w:val="0077466E"/>
    <w:rsid w:val="00815153"/>
    <w:rsid w:val="009F13D1"/>
    <w:rsid w:val="00B23696"/>
    <w:rsid w:val="00C20916"/>
    <w:rsid w:val="00F7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84B91-ADFA-4F64-ADF5-F6CF18C3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544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81515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underline">
    <w:name w:val="underline"/>
    <w:basedOn w:val="Standardnpsmoodstavce"/>
    <w:rsid w:val="00815153"/>
  </w:style>
  <w:style w:type="character" w:styleId="Siln">
    <w:name w:val="Strong"/>
    <w:basedOn w:val="Standardnpsmoodstavce"/>
    <w:uiPriority w:val="22"/>
    <w:qFormat/>
    <w:rsid w:val="00815153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8151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0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Multiscan Multiscan</dc:creator>
  <cp:keywords/>
  <dc:description/>
  <cp:lastModifiedBy>Multiscan Multiscan</cp:lastModifiedBy>
  <cp:revision>3</cp:revision>
  <dcterms:created xsi:type="dcterms:W3CDTF">2018-11-09T12:21:00Z</dcterms:created>
  <dcterms:modified xsi:type="dcterms:W3CDTF">2018-11-09T12:26:00Z</dcterms:modified>
</cp:coreProperties>
</file>